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AA988">
      <w:pPr>
        <w:pStyle w:val="3"/>
        <w:keepNext w:val="0"/>
        <w:keepLines w:val="0"/>
        <w:pageBreakBefore w:val="0"/>
        <w:widowControl w:val="0"/>
        <w:kinsoku/>
        <w:wordWrap/>
        <w:overflowPunct/>
        <w:topLinePunct w:val="0"/>
        <w:bidi w:val="0"/>
        <w:snapToGrid/>
        <w:spacing w:line="460" w:lineRule="exact"/>
        <w:ind w:right="-99" w:rightChars="-47"/>
        <w:jc w:val="center"/>
        <w:rPr>
          <w:rFonts w:hint="eastAsia" w:ascii="小标宋" w:hAnsi="小标宋" w:eastAsia="小标宋" w:cs="小标宋"/>
          <w:b/>
          <w:color w:val="auto"/>
          <w:sz w:val="44"/>
          <w:szCs w:val="44"/>
        </w:rPr>
      </w:pPr>
      <w:r>
        <w:rPr>
          <w:rFonts w:hint="eastAsia" w:ascii="小标宋" w:hAnsi="小标宋" w:eastAsia="小标宋" w:cs="小标宋"/>
          <w:b/>
          <w:color w:val="auto"/>
          <w:sz w:val="44"/>
          <w:szCs w:val="44"/>
          <w:lang w:val="en-US" w:eastAsia="zh-CN"/>
        </w:rPr>
        <w:t>辽宁方大总医院招租招商</w:t>
      </w:r>
      <w:r>
        <w:rPr>
          <w:rFonts w:hint="eastAsia" w:ascii="小标宋" w:hAnsi="小标宋" w:eastAsia="小标宋" w:cs="小标宋"/>
          <w:b/>
          <w:color w:val="auto"/>
          <w:sz w:val="44"/>
          <w:szCs w:val="44"/>
        </w:rPr>
        <w:t>项目租赁合同</w:t>
      </w:r>
    </w:p>
    <w:p w14:paraId="2400EBE8">
      <w:pPr>
        <w:pStyle w:val="3"/>
        <w:keepNext w:val="0"/>
        <w:keepLines w:val="0"/>
        <w:pageBreakBefore w:val="0"/>
        <w:widowControl w:val="0"/>
        <w:kinsoku/>
        <w:wordWrap/>
        <w:overflowPunct/>
        <w:topLinePunct w:val="0"/>
        <w:bidi w:val="0"/>
        <w:snapToGrid/>
        <w:spacing w:line="460" w:lineRule="exact"/>
        <w:ind w:right="-99" w:rightChars="-47" w:firstLine="1"/>
        <w:rPr>
          <w:rFonts w:hint="eastAsia" w:ascii="仿宋_GB2312" w:hAnsi="仿宋_GB2312" w:eastAsia="仿宋_GB2312" w:cs="仿宋_GB2312"/>
          <w:color w:val="auto"/>
          <w:sz w:val="32"/>
          <w:szCs w:val="32"/>
        </w:rPr>
      </w:pPr>
    </w:p>
    <w:p w14:paraId="5D173F43">
      <w:pPr>
        <w:pStyle w:val="3"/>
        <w:keepNext w:val="0"/>
        <w:keepLines w:val="0"/>
        <w:pageBreakBefore w:val="0"/>
        <w:widowControl w:val="0"/>
        <w:kinsoku/>
        <w:wordWrap/>
        <w:overflowPunct/>
        <w:topLinePunct w:val="0"/>
        <w:bidi w:val="0"/>
        <w:snapToGrid/>
        <w:spacing w:line="460" w:lineRule="exact"/>
        <w:ind w:right="-99" w:rightChars="-47" w:firstLine="1"/>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bCs/>
          <w:color w:val="auto"/>
          <w:sz w:val="24"/>
          <w:szCs w:val="24"/>
        </w:rPr>
        <w:t>合同编号：</w:t>
      </w:r>
      <w:r>
        <w:rPr>
          <w:rFonts w:hint="eastAsia" w:ascii="仿宋_GB2312" w:hAnsi="仿宋_GB2312" w:eastAsia="仿宋_GB2312" w:cs="仿宋_GB2312"/>
          <w:b/>
          <w:bCs/>
          <w:color w:val="auto"/>
          <w:sz w:val="24"/>
          <w:szCs w:val="24"/>
          <w:lang w:val="en-US" w:eastAsia="zh-CN"/>
        </w:rPr>
        <w:t xml:space="preserve">    </w:t>
      </w:r>
    </w:p>
    <w:p w14:paraId="66356FD7">
      <w:pPr>
        <w:pStyle w:val="3"/>
        <w:keepNext w:val="0"/>
        <w:keepLines w:val="0"/>
        <w:pageBreakBefore w:val="0"/>
        <w:widowControl w:val="0"/>
        <w:kinsoku/>
        <w:wordWrap/>
        <w:overflowPunct/>
        <w:topLinePunct w:val="0"/>
        <w:bidi w:val="0"/>
        <w:snapToGrid/>
        <w:spacing w:line="460" w:lineRule="exact"/>
        <w:ind w:right="-99" w:rightChars="-47" w:firstLine="2168" w:firstLineChars="900"/>
        <w:jc w:val="both"/>
        <w:rPr>
          <w:rFonts w:hint="eastAsia" w:ascii="小标宋" w:hAnsi="小标宋" w:eastAsia="小标宋" w:cs="小标宋"/>
          <w:b/>
          <w:color w:val="auto"/>
          <w:szCs w:val="21"/>
          <w:highlight w:val="none"/>
          <w:lang w:val="en-US" w:eastAsia="zh-CN"/>
        </w:rPr>
      </w:pPr>
    </w:p>
    <w:p w14:paraId="2906E175">
      <w:pPr>
        <w:pStyle w:val="3"/>
        <w:keepNext w:val="0"/>
        <w:keepLines w:val="0"/>
        <w:pageBreakBefore w:val="0"/>
        <w:widowControl w:val="0"/>
        <w:kinsoku/>
        <w:wordWrap/>
        <w:overflowPunct/>
        <w:topLinePunct w:val="0"/>
        <w:bidi w:val="0"/>
        <w:snapToGrid/>
        <w:spacing w:line="460" w:lineRule="exact"/>
        <w:ind w:right="-99" w:rightChars="-47" w:firstLine="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本合同由以下双方于</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日在中国辽宁省沈抚示范区玄菟路588号签署。</w:t>
      </w:r>
    </w:p>
    <w:p w14:paraId="5824587D">
      <w:pPr>
        <w:keepNext w:val="0"/>
        <w:keepLines w:val="0"/>
        <w:pageBreakBefore w:val="0"/>
        <w:widowControl w:val="0"/>
        <w:kinsoku/>
        <w:wordWrap/>
        <w:overflowPunct/>
        <w:topLinePunct w:val="0"/>
        <w:bidi w:val="0"/>
        <w:snapToGrid/>
        <w:spacing w:line="460" w:lineRule="exact"/>
        <w:ind w:right="-99" w:rightChars="-47" w:firstLine="1"/>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甲方（出租人）：</w:t>
      </w:r>
      <w:r>
        <w:rPr>
          <w:rFonts w:hint="eastAsia" w:ascii="仿宋_GB2312" w:hAnsi="仿宋_GB2312" w:eastAsia="仿宋_GB2312" w:cs="仿宋_GB2312"/>
          <w:color w:val="auto"/>
          <w:sz w:val="32"/>
          <w:szCs w:val="32"/>
          <w:lang w:val="en-US" w:eastAsia="zh-CN"/>
        </w:rPr>
        <w:t>辽宁方大总医院有限公司</w:t>
      </w:r>
    </w:p>
    <w:p w14:paraId="3CAFDBE8">
      <w:pPr>
        <w:keepNext w:val="0"/>
        <w:keepLines w:val="0"/>
        <w:pageBreakBefore w:val="0"/>
        <w:widowControl w:val="0"/>
        <w:kinsoku/>
        <w:wordWrap/>
        <w:overflowPunct/>
        <w:topLinePunct w:val="0"/>
        <w:bidi w:val="0"/>
        <w:snapToGrid/>
        <w:spacing w:line="460" w:lineRule="exact"/>
        <w:ind w:right="-99" w:rightChars="-47" w:firstLine="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乙方（承租人）：</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 xml:space="preserve">（自然人） </w:t>
      </w:r>
    </w:p>
    <w:p w14:paraId="377B8C13">
      <w:pPr>
        <w:keepNext w:val="0"/>
        <w:keepLines w:val="0"/>
        <w:pageBreakBefore w:val="0"/>
        <w:widowControl w:val="0"/>
        <w:kinsoku/>
        <w:wordWrap/>
        <w:overflowPunct/>
        <w:topLinePunct w:val="0"/>
        <w:bidi w:val="0"/>
        <w:snapToGrid/>
        <w:spacing w:line="460" w:lineRule="exact"/>
        <w:ind w:right="-99" w:rightChars="-47" w:firstLine="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承租人证照名称：   </w:t>
      </w:r>
    </w:p>
    <w:p w14:paraId="544BB3C5">
      <w:pPr>
        <w:keepNext w:val="0"/>
        <w:keepLines w:val="0"/>
        <w:pageBreakBefore w:val="0"/>
        <w:widowControl w:val="0"/>
        <w:kinsoku/>
        <w:wordWrap/>
        <w:overflowPunct/>
        <w:topLinePunct w:val="0"/>
        <w:bidi w:val="0"/>
        <w:snapToGrid/>
        <w:spacing w:line="460" w:lineRule="exact"/>
        <w:ind w:right="-99" w:rightChars="-47" w:firstLine="1"/>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 xml:space="preserve">承租人证照号码： </w:t>
      </w:r>
      <w:r>
        <w:rPr>
          <w:rFonts w:hint="eastAsia" w:ascii="仿宋_GB2312" w:hAnsi="仿宋_GB2312" w:eastAsia="仿宋_GB2312" w:cs="仿宋_GB2312"/>
          <w:color w:val="auto"/>
          <w:sz w:val="32"/>
          <w:szCs w:val="32"/>
          <w:lang w:val="en-US" w:eastAsia="zh-CN"/>
        </w:rPr>
        <w:t xml:space="preserve">                                                                                                                                                                                                               </w:t>
      </w:r>
    </w:p>
    <w:p w14:paraId="305DAB41">
      <w:pPr>
        <w:keepNext w:val="0"/>
        <w:keepLines w:val="0"/>
        <w:pageBreakBefore w:val="0"/>
        <w:widowControl w:val="0"/>
        <w:kinsoku/>
        <w:wordWrap/>
        <w:overflowPunct/>
        <w:topLinePunct w:val="0"/>
        <w:bidi w:val="0"/>
        <w:snapToGrid/>
        <w:spacing w:line="460" w:lineRule="exact"/>
        <w:ind w:right="-99" w:rightChars="-47" w:firstLine="1"/>
        <w:rPr>
          <w:rFonts w:hint="eastAsia" w:ascii="仿宋_GB2312" w:hAnsi="仿宋_GB2312" w:eastAsia="仿宋_GB2312" w:cs="仿宋_GB2312"/>
          <w:color w:val="auto"/>
          <w:sz w:val="32"/>
          <w:szCs w:val="32"/>
        </w:rPr>
      </w:pPr>
    </w:p>
    <w:p w14:paraId="089BB71B">
      <w:pPr>
        <w:keepNext w:val="0"/>
        <w:keepLines w:val="0"/>
        <w:pageBreakBefore w:val="0"/>
        <w:widowControl w:val="0"/>
        <w:kinsoku/>
        <w:wordWrap/>
        <w:overflowPunct/>
        <w:topLinePunct w:val="0"/>
        <w:bidi w:val="0"/>
        <w:snapToGrid/>
        <w:spacing w:line="460" w:lineRule="exact"/>
        <w:ind w:firstLine="1"/>
        <w:contextualSpacing/>
        <w:jc w:val="center"/>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序 言</w:t>
      </w:r>
    </w:p>
    <w:p w14:paraId="6CD51745">
      <w:pPr>
        <w:keepNext w:val="0"/>
        <w:keepLines w:val="0"/>
        <w:pageBreakBefore w:val="0"/>
        <w:widowControl w:val="0"/>
        <w:kinsoku/>
        <w:wordWrap/>
        <w:overflowPunct/>
        <w:topLinePunct w:val="0"/>
        <w:bidi w:val="0"/>
        <w:snapToGrid/>
        <w:spacing w:line="460" w:lineRule="exact"/>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一、甲方是位于中国辽宁省沈抚示范区玄菟路588号的</w:t>
      </w:r>
      <w:r>
        <w:rPr>
          <w:rFonts w:hint="eastAsia" w:ascii="仿宋_GB2312" w:hAnsi="仿宋_GB2312" w:eastAsia="仿宋_GB2312" w:cs="仿宋_GB2312"/>
          <w:color w:val="auto"/>
          <w:sz w:val="32"/>
          <w:szCs w:val="32"/>
          <w:lang w:val="en-US" w:eastAsia="zh-CN"/>
        </w:rPr>
        <w:t>招租招商</w:t>
      </w:r>
      <w:r>
        <w:rPr>
          <w:rFonts w:hint="eastAsia" w:ascii="仿宋_GB2312" w:hAnsi="仿宋_GB2312" w:eastAsia="仿宋_GB2312" w:cs="仿宋_GB2312"/>
          <w:color w:val="auto"/>
          <w:sz w:val="32"/>
          <w:szCs w:val="32"/>
        </w:rPr>
        <w:t>项目（下称“项目”）的所有权人。</w:t>
      </w:r>
    </w:p>
    <w:p w14:paraId="24098881">
      <w:pPr>
        <w:keepNext w:val="0"/>
        <w:keepLines w:val="0"/>
        <w:pageBreakBefore w:val="0"/>
        <w:widowControl w:val="0"/>
        <w:kinsoku/>
        <w:wordWrap/>
        <w:overflowPunct/>
        <w:topLinePunct w:val="0"/>
        <w:bidi w:val="0"/>
        <w:snapToGrid/>
        <w:spacing w:line="460" w:lineRule="exact"/>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二、甲方同意将项目中的商铺（具体位置、面积构成等基本状况详见本合同附件1，下称“该房屋”）出租给乙方使用。乙方作为</w:t>
      </w:r>
      <w:r>
        <w:rPr>
          <w:rFonts w:hint="eastAsia" w:ascii="仿宋_GB2312" w:hAnsi="仿宋_GB2312" w:eastAsia="仿宋_GB2312" w:cs="仿宋_GB2312"/>
          <w:color w:val="auto"/>
          <w:sz w:val="32"/>
          <w:szCs w:val="32"/>
          <w:u w:val="single"/>
          <w:lang w:val="en-US" w:eastAsia="zh-CN"/>
        </w:rPr>
        <w:t>餐饮</w:t>
      </w:r>
      <w:r>
        <w:rPr>
          <w:rFonts w:hint="eastAsia" w:ascii="仿宋_GB2312" w:hAnsi="仿宋_GB2312" w:eastAsia="仿宋_GB2312" w:cs="仿宋_GB2312"/>
          <w:color w:val="auto"/>
          <w:sz w:val="32"/>
          <w:szCs w:val="32"/>
        </w:rPr>
        <w:t>业态的专业经营商，同意承租该房屋。</w:t>
      </w:r>
    </w:p>
    <w:p w14:paraId="7F1A0EE4">
      <w:pPr>
        <w:keepNext w:val="0"/>
        <w:keepLines w:val="0"/>
        <w:pageBreakBefore w:val="0"/>
        <w:widowControl w:val="0"/>
        <w:kinsoku/>
        <w:wordWrap/>
        <w:overflowPunct/>
        <w:topLinePunct w:val="0"/>
        <w:bidi w:val="0"/>
        <w:snapToGrid/>
        <w:spacing w:line="460" w:lineRule="exact"/>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三、甲、乙双方确认，本合同相关词语应按如下定义解释和执行：</w:t>
      </w:r>
    </w:p>
    <w:p w14:paraId="69200F4A">
      <w:pPr>
        <w:pStyle w:val="17"/>
        <w:keepNext w:val="0"/>
        <w:keepLines w:val="0"/>
        <w:pageBreakBefore w:val="0"/>
        <w:widowControl w:val="0"/>
        <w:kinsoku/>
        <w:wordWrap/>
        <w:overflowPunct/>
        <w:topLinePunct w:val="0"/>
        <w:bidi w:val="0"/>
        <w:snapToGrid/>
        <w:spacing w:line="460" w:lineRule="exact"/>
        <w:ind w:firstLine="0" w:firstLineChars="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1.租约年：</w:t>
      </w:r>
      <w:r>
        <w:rPr>
          <w:rFonts w:hint="eastAsia" w:ascii="仿宋_GB2312" w:hAnsi="仿宋_GB2312" w:eastAsia="仿宋_GB2312" w:cs="仿宋_GB2312"/>
          <w:color w:val="auto"/>
          <w:sz w:val="32"/>
          <w:szCs w:val="32"/>
        </w:rPr>
        <w:t>计租日至次年当月当日的前一日为第一个租约年，其他租约年均</w:t>
      </w:r>
      <w:r>
        <w:rPr>
          <w:rFonts w:hint="eastAsia" w:ascii="仿宋_GB2312" w:hAnsi="仿宋_GB2312" w:eastAsia="仿宋_GB2312" w:cs="仿宋_GB2312"/>
          <w:color w:val="auto"/>
          <w:sz w:val="32"/>
          <w:szCs w:val="32"/>
          <w:lang w:eastAsia="zh-CN"/>
        </w:rPr>
        <w:t>以此类推</w:t>
      </w:r>
      <w:r>
        <w:rPr>
          <w:rFonts w:hint="eastAsia" w:ascii="仿宋_GB2312" w:hAnsi="仿宋_GB2312" w:eastAsia="仿宋_GB2312" w:cs="仿宋_GB2312"/>
          <w:color w:val="auto"/>
          <w:sz w:val="32"/>
          <w:szCs w:val="32"/>
        </w:rPr>
        <w:t>。</w:t>
      </w:r>
    </w:p>
    <w:p w14:paraId="7B68D0F2">
      <w:pPr>
        <w:pStyle w:val="17"/>
        <w:keepNext w:val="0"/>
        <w:keepLines w:val="0"/>
        <w:pageBreakBefore w:val="0"/>
        <w:widowControl w:val="0"/>
        <w:kinsoku/>
        <w:wordWrap/>
        <w:overflowPunct/>
        <w:topLinePunct w:val="0"/>
        <w:bidi w:val="0"/>
        <w:snapToGrid/>
        <w:spacing w:line="460" w:lineRule="exact"/>
        <w:ind w:firstLine="0" w:firstLineChars="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2.物业服务公司：</w:t>
      </w:r>
      <w:r>
        <w:rPr>
          <w:rFonts w:hint="eastAsia" w:ascii="仿宋_GB2312" w:hAnsi="仿宋_GB2312" w:eastAsia="仿宋_GB2312" w:cs="仿宋_GB2312"/>
          <w:color w:val="auto"/>
          <w:sz w:val="32"/>
          <w:szCs w:val="32"/>
        </w:rPr>
        <w:t>接受甲方委托、对包括该房屋在内的项目提供统一物业管理服务和实施商业运营管理的企业。就本合同而言，指</w:t>
      </w:r>
      <w:r>
        <w:rPr>
          <w:rFonts w:hint="eastAsia" w:ascii="仿宋_GB2312" w:hAnsi="仿宋_GB2312" w:eastAsia="仿宋_GB2312" w:cs="仿宋_GB2312"/>
          <w:color w:val="auto"/>
          <w:sz w:val="32"/>
          <w:szCs w:val="32"/>
          <w:highlight w:val="none"/>
          <w:u w:val="single"/>
          <w:lang w:val="en-US" w:eastAsia="zh-CN"/>
        </w:rPr>
        <w:t>辽宁方大总医院有限公司物业归口管理部门</w:t>
      </w:r>
      <w:r>
        <w:rPr>
          <w:rFonts w:hint="eastAsia" w:ascii="仿宋_GB2312" w:hAnsi="仿宋_GB2312" w:eastAsia="仿宋_GB2312" w:cs="仿宋_GB2312"/>
          <w:color w:val="auto"/>
          <w:sz w:val="32"/>
          <w:szCs w:val="32"/>
        </w:rPr>
        <w:t>。</w:t>
      </w:r>
    </w:p>
    <w:p w14:paraId="41C61CC5">
      <w:pPr>
        <w:pStyle w:val="17"/>
        <w:keepNext w:val="0"/>
        <w:keepLines w:val="0"/>
        <w:pageBreakBefore w:val="0"/>
        <w:widowControl w:val="0"/>
        <w:kinsoku/>
        <w:wordWrap/>
        <w:overflowPunct/>
        <w:topLinePunct w:val="0"/>
        <w:bidi w:val="0"/>
        <w:snapToGrid/>
        <w:spacing w:line="460" w:lineRule="exact"/>
        <w:ind w:firstLine="0" w:firstLineChars="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3.进场日：</w:t>
      </w:r>
      <w:r>
        <w:rPr>
          <w:rFonts w:hint="eastAsia" w:ascii="仿宋_GB2312" w:hAnsi="仿宋_GB2312" w:eastAsia="仿宋_GB2312" w:cs="仿宋_GB2312"/>
          <w:color w:val="auto"/>
          <w:sz w:val="32"/>
          <w:szCs w:val="32"/>
        </w:rPr>
        <w:t>甲方移交、乙方进入该房屋之日。甲、乙双方应签署《房屋交接确认书》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见附件2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确定进场日。</w:t>
      </w:r>
    </w:p>
    <w:p w14:paraId="2FE2B250">
      <w:pPr>
        <w:pStyle w:val="17"/>
        <w:keepNext w:val="0"/>
        <w:keepLines w:val="0"/>
        <w:pageBreakBefore w:val="0"/>
        <w:widowControl w:val="0"/>
        <w:kinsoku/>
        <w:wordWrap/>
        <w:overflowPunct/>
        <w:topLinePunct w:val="0"/>
        <w:bidi w:val="0"/>
        <w:snapToGrid/>
        <w:spacing w:line="460" w:lineRule="exact"/>
        <w:ind w:firstLine="0" w:firstLineChars="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4.装修期：</w:t>
      </w:r>
      <w:r>
        <w:rPr>
          <w:rFonts w:hint="eastAsia" w:ascii="仿宋_GB2312" w:hAnsi="仿宋_GB2312" w:eastAsia="仿宋_GB2312" w:cs="仿宋_GB2312"/>
          <w:color w:val="auto"/>
          <w:sz w:val="32"/>
          <w:szCs w:val="32"/>
        </w:rPr>
        <w:t>自进场日起算的一定期间。如该房屋在前述期间内对外经营的（即乙方在该房屋内开始经营，实际接待顾客，而无论乙方是否试营业、试运行或顾客的数量及销售状况如何，或者项目内其他商家是否经营，但不包括按甲方要求进行试营业的情况），则装修期截止至</w:t>
      </w:r>
      <w:r>
        <w:rPr>
          <w:rFonts w:hint="eastAsia" w:ascii="仿宋_GB2312" w:hAnsi="仿宋_GB2312" w:eastAsia="仿宋_GB2312" w:cs="仿宋_GB2312"/>
          <w:color w:val="auto"/>
          <w:sz w:val="32"/>
          <w:szCs w:val="32"/>
          <w:lang w:val="en-US" w:eastAsia="zh-CN"/>
        </w:rPr>
        <w:t>实际经营日</w:t>
      </w:r>
      <w:r>
        <w:rPr>
          <w:rFonts w:hint="eastAsia" w:ascii="仿宋_GB2312" w:hAnsi="仿宋_GB2312" w:eastAsia="仿宋_GB2312" w:cs="仿宋_GB2312"/>
          <w:color w:val="auto"/>
          <w:sz w:val="32"/>
          <w:szCs w:val="32"/>
        </w:rPr>
        <w:t>的前一日。</w:t>
      </w:r>
    </w:p>
    <w:p w14:paraId="0EB3DA1C">
      <w:pPr>
        <w:pStyle w:val="17"/>
        <w:keepNext w:val="0"/>
        <w:keepLines w:val="0"/>
        <w:pageBreakBefore w:val="0"/>
        <w:widowControl w:val="0"/>
        <w:kinsoku/>
        <w:wordWrap/>
        <w:overflowPunct/>
        <w:topLinePunct w:val="0"/>
        <w:bidi w:val="0"/>
        <w:snapToGrid/>
        <w:spacing w:line="460" w:lineRule="exact"/>
        <w:ind w:firstLine="0" w:firstLineChars="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lang w:val="en-US" w:eastAsia="zh-CN"/>
        </w:rPr>
        <w:t>5</w:t>
      </w:r>
      <w:r>
        <w:rPr>
          <w:rFonts w:hint="eastAsia" w:ascii="仿宋_GB2312" w:hAnsi="仿宋_GB2312" w:eastAsia="仿宋_GB2312" w:cs="仿宋_GB2312"/>
          <w:b/>
          <w:color w:val="auto"/>
          <w:sz w:val="32"/>
          <w:szCs w:val="32"/>
        </w:rPr>
        <w:t>.交还日：</w:t>
      </w:r>
      <w:r>
        <w:rPr>
          <w:rFonts w:hint="eastAsia" w:ascii="仿宋_GB2312" w:hAnsi="仿宋_GB2312" w:eastAsia="仿宋_GB2312" w:cs="仿宋_GB2312"/>
          <w:color w:val="auto"/>
          <w:sz w:val="32"/>
          <w:szCs w:val="32"/>
        </w:rPr>
        <w:t>本合同因租赁期限届满或任何原因提前终止后第15日。乙方应当于该日前将该房屋按约定状态交还给甲方。</w:t>
      </w:r>
    </w:p>
    <w:p w14:paraId="063FC8E5">
      <w:pPr>
        <w:keepNext w:val="0"/>
        <w:keepLines w:val="0"/>
        <w:pageBreakBefore w:val="0"/>
        <w:widowControl w:val="0"/>
        <w:numPr>
          <w:ilvl w:val="0"/>
          <w:numId w:val="1"/>
        </w:numPr>
        <w:tabs>
          <w:tab w:val="left" w:pos="1155"/>
          <w:tab w:val="clear" w:pos="1140"/>
        </w:tabs>
        <w:kinsoku/>
        <w:wordWrap/>
        <w:overflowPunct/>
        <w:topLinePunct w:val="0"/>
        <w:bidi w:val="0"/>
        <w:snapToGrid/>
        <w:spacing w:line="460" w:lineRule="exact"/>
        <w:ind w:left="0" w:hanging="643" w:hangingChars="20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计租面积</w:t>
      </w:r>
    </w:p>
    <w:p w14:paraId="600B70E0">
      <w:pPr>
        <w:keepNext w:val="0"/>
        <w:keepLines w:val="0"/>
        <w:pageBreakBefore w:val="0"/>
        <w:widowControl w:val="0"/>
        <w:kinsoku/>
        <w:wordWrap/>
        <w:overflowPunct/>
        <w:topLinePunct w:val="0"/>
        <w:bidi w:val="0"/>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该房屋的计租面积为</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平方米。</w:t>
      </w:r>
    </w:p>
    <w:p w14:paraId="462B0F0B">
      <w:pPr>
        <w:keepNext w:val="0"/>
        <w:keepLines w:val="0"/>
        <w:pageBreakBefore w:val="0"/>
        <w:widowControl w:val="0"/>
        <w:kinsoku/>
        <w:wordWrap/>
        <w:overflowPunct/>
        <w:topLinePunct w:val="0"/>
        <w:bidi w:val="0"/>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甲、乙双方同意，该商铺的租赁面积允许误差范围在正负3%之内。若该误差</w:t>
      </w:r>
      <w:r>
        <w:rPr>
          <w:rFonts w:hint="eastAsia" w:ascii="仿宋_GB2312" w:hAnsi="仿宋_GB2312" w:eastAsia="仿宋_GB2312" w:cs="仿宋_GB2312"/>
          <w:color w:val="auto"/>
          <w:sz w:val="32"/>
          <w:szCs w:val="32"/>
          <w:highlight w:val="none"/>
          <w:lang w:val="en-US" w:eastAsia="zh-CN"/>
        </w:rPr>
        <w:t>小于等于</w:t>
      </w:r>
      <w:r>
        <w:rPr>
          <w:rFonts w:hint="eastAsia" w:ascii="仿宋_GB2312" w:hAnsi="仿宋_GB2312" w:eastAsia="仿宋_GB2312" w:cs="仿宋_GB2312"/>
          <w:color w:val="auto"/>
          <w:sz w:val="32"/>
          <w:szCs w:val="32"/>
          <w:highlight w:val="none"/>
        </w:rPr>
        <w:t>正负3%，则以租赁面积计算的款项均不作任何调整；若该误差</w:t>
      </w:r>
      <w:r>
        <w:rPr>
          <w:rFonts w:hint="eastAsia" w:ascii="仿宋_GB2312" w:hAnsi="仿宋_GB2312" w:eastAsia="仿宋_GB2312" w:cs="仿宋_GB2312"/>
          <w:color w:val="auto"/>
          <w:sz w:val="32"/>
          <w:szCs w:val="32"/>
          <w:highlight w:val="none"/>
          <w:lang w:val="en-US" w:eastAsia="zh-CN"/>
        </w:rPr>
        <w:t>大于</w:t>
      </w:r>
      <w:r>
        <w:rPr>
          <w:rFonts w:hint="eastAsia" w:ascii="仿宋_GB2312" w:hAnsi="仿宋_GB2312" w:eastAsia="仿宋_GB2312" w:cs="仿宋_GB2312"/>
          <w:color w:val="auto"/>
          <w:sz w:val="32"/>
          <w:szCs w:val="32"/>
          <w:highlight w:val="none"/>
        </w:rPr>
        <w:t>正负3%，则租金以租赁面积计算的款项按实际面积多退少补。上述多退少补的所有费用须在收到相应的书面通知后三十（30）个工作日内付清。如乙方对租赁面积有异议，应在进场前提出，否则，视为乙方认可该租赁面积。</w:t>
      </w:r>
    </w:p>
    <w:p w14:paraId="0A397C08">
      <w:pPr>
        <w:keepNext w:val="0"/>
        <w:keepLines w:val="0"/>
        <w:pageBreakBefore w:val="0"/>
        <w:widowControl w:val="0"/>
        <w:numPr>
          <w:ilvl w:val="0"/>
          <w:numId w:val="1"/>
        </w:numPr>
        <w:tabs>
          <w:tab w:val="left" w:pos="1155"/>
          <w:tab w:val="clear" w:pos="1140"/>
        </w:tabs>
        <w:kinsoku/>
        <w:wordWrap/>
        <w:overflowPunct/>
        <w:topLinePunct w:val="0"/>
        <w:bidi w:val="0"/>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租赁期限</w:t>
      </w:r>
    </w:p>
    <w:p w14:paraId="267BECC3">
      <w:pPr>
        <w:keepNext w:val="0"/>
        <w:keepLines w:val="0"/>
        <w:pageBreakBefore w:val="0"/>
        <w:widowControl w:val="0"/>
        <w:tabs>
          <w:tab w:val="left" w:pos="0"/>
        </w:tabs>
        <w:kinsoku/>
        <w:wordWrap/>
        <w:overflowPunct/>
        <w:topLinePunct w:val="0"/>
        <w:bidi w:val="0"/>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本合同项下租赁期限为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36</w:t>
      </w:r>
      <w:r>
        <w:rPr>
          <w:rFonts w:hint="eastAsia" w:ascii="仿宋_GB2312" w:hAnsi="仿宋_GB2312" w:eastAsia="仿宋_GB2312" w:cs="仿宋_GB2312"/>
          <w:color w:val="auto"/>
          <w:sz w:val="32"/>
          <w:szCs w:val="32"/>
        </w:rPr>
        <w:t>个月，自进场日开始计算。即自</w:t>
      </w:r>
      <w:r>
        <w:rPr>
          <w:rFonts w:hint="eastAsia" w:ascii="仿宋_GB2312" w:hAnsi="仿宋_GB2312" w:eastAsia="仿宋_GB2312" w:cs="仿宋_GB2312"/>
          <w:color w:val="auto"/>
          <w:sz w:val="32"/>
          <w:szCs w:val="32"/>
          <w:u w:val="single"/>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日起至</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2029</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lang w:val="en-US" w:eastAsia="zh-CN"/>
        </w:rPr>
        <w:t>XX</w:t>
      </w:r>
      <w:r>
        <w:rPr>
          <w:rFonts w:hint="eastAsia" w:ascii="仿宋_GB2312" w:hAnsi="仿宋_GB2312" w:eastAsia="仿宋_GB2312" w:cs="仿宋_GB2312"/>
          <w:color w:val="auto"/>
          <w:sz w:val="32"/>
          <w:szCs w:val="32"/>
        </w:rPr>
        <w:t>日止。</w:t>
      </w:r>
    </w:p>
    <w:p w14:paraId="07896D9C">
      <w:pPr>
        <w:keepNext w:val="0"/>
        <w:keepLines w:val="0"/>
        <w:pageBreakBefore w:val="0"/>
        <w:widowControl w:val="0"/>
        <w:numPr>
          <w:ilvl w:val="0"/>
          <w:numId w:val="1"/>
        </w:numPr>
        <w:tabs>
          <w:tab w:val="left" w:pos="1155"/>
          <w:tab w:val="clear" w:pos="1140"/>
        </w:tabs>
        <w:kinsoku/>
        <w:wordWrap/>
        <w:overflowPunct/>
        <w:topLinePunct w:val="0"/>
        <w:bidi w:val="0"/>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装修期</w:t>
      </w:r>
    </w:p>
    <w:p w14:paraId="1082DCA9">
      <w:pPr>
        <w:keepNext w:val="0"/>
        <w:keepLines w:val="0"/>
        <w:pageBreakBefore w:val="0"/>
        <w:widowControl w:val="0"/>
        <w:tabs>
          <w:tab w:val="left" w:pos="567"/>
        </w:tabs>
        <w:kinsoku/>
        <w:wordWrap/>
        <w:overflowPunct/>
        <w:topLinePunct w:val="0"/>
        <w:bidi w:val="0"/>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3.1</w:t>
      </w:r>
      <w:r>
        <w:rPr>
          <w:rFonts w:hint="eastAsia" w:ascii="仿宋_GB2312" w:hAnsi="仿宋_GB2312" w:eastAsia="仿宋_GB2312" w:cs="仿宋_GB2312"/>
          <w:color w:val="auto"/>
          <w:sz w:val="32"/>
          <w:szCs w:val="32"/>
          <w:highlight w:val="none"/>
        </w:rPr>
        <w:t>装修期为进场日起</w:t>
      </w:r>
      <w:r>
        <w:rPr>
          <w:rFonts w:hint="eastAsia" w:ascii="仿宋_GB2312" w:hAnsi="仿宋_GB2312" w:eastAsia="仿宋_GB2312" w:cs="仿宋_GB2312"/>
          <w:color w:val="auto"/>
          <w:sz w:val="32"/>
          <w:szCs w:val="32"/>
          <w:highlight w:val="none"/>
          <w:lang w:val="en-US" w:eastAsia="zh-CN"/>
        </w:rPr>
        <w:t>30天内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除另有特别约定</w:t>
      </w:r>
      <w:r>
        <w:rPr>
          <w:rFonts w:hint="eastAsia" w:ascii="仿宋_GB2312" w:hAnsi="仿宋_GB2312" w:eastAsia="仿宋_GB2312" w:cs="仿宋_GB2312"/>
          <w:color w:val="auto"/>
          <w:sz w:val="32"/>
          <w:szCs w:val="32"/>
          <w:highlight w:val="none"/>
          <w:lang w:val="en-US" w:eastAsia="zh-CN"/>
        </w:rPr>
        <w:t>外</w:t>
      </w:r>
      <w:r>
        <w:rPr>
          <w:rFonts w:hint="eastAsia" w:ascii="仿宋_GB2312" w:hAnsi="仿宋_GB2312" w:eastAsia="仿宋_GB2312" w:cs="仿宋_GB2312"/>
          <w:color w:val="auto"/>
          <w:sz w:val="32"/>
          <w:szCs w:val="32"/>
          <w:highlight w:val="none"/>
        </w:rPr>
        <w:t>，装修期不因任何原因而延长。乙方应在装修期内完成该房屋装修、通过甲方及政府部门验收、具备合法开业条件。</w:t>
      </w:r>
    </w:p>
    <w:p w14:paraId="255DAFCA">
      <w:pPr>
        <w:keepNext w:val="0"/>
        <w:keepLines w:val="0"/>
        <w:pageBreakBefore w:val="0"/>
        <w:widowControl w:val="0"/>
        <w:tabs>
          <w:tab w:val="left" w:pos="567"/>
        </w:tabs>
        <w:kinsoku/>
        <w:wordWrap/>
        <w:overflowPunct/>
        <w:topLinePunct w:val="0"/>
        <w:bidi w:val="0"/>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rPr>
        <w:t>装修期内，乙方承担该房屋发生的水、电、燃气、热力等公用事业费用，其中乙方应向甲方</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eastAsia="仿宋_GB2312" w:cs="仿宋_GB2312"/>
          <w:color w:val="auto"/>
          <w:sz w:val="32"/>
          <w:szCs w:val="32"/>
          <w:highlight w:val="none"/>
        </w:rPr>
        <w:t>物业服务公司或公共事业单位支付除租金外的水、电、燃气、热力等公用事业费等其他全部费用。</w:t>
      </w:r>
    </w:p>
    <w:p w14:paraId="41A2AF59">
      <w:pPr>
        <w:keepNext w:val="0"/>
        <w:keepLines w:val="0"/>
        <w:pageBreakBefore w:val="0"/>
        <w:widowControl w:val="0"/>
        <w:numPr>
          <w:ilvl w:val="0"/>
          <w:numId w:val="1"/>
        </w:numPr>
        <w:kinsoku/>
        <w:wordWrap/>
        <w:overflowPunct/>
        <w:topLinePunct w:val="0"/>
        <w:bidi w:val="0"/>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租金标准和租金支付</w:t>
      </w:r>
    </w:p>
    <w:p w14:paraId="43F4B934">
      <w:pPr>
        <w:pStyle w:val="2"/>
        <w:keepNext w:val="0"/>
        <w:keepLines w:val="0"/>
        <w:pageBreakBefore w:val="0"/>
        <w:widowControl w:val="0"/>
        <w:kinsoku/>
        <w:wordWrap/>
        <w:overflowPunct/>
        <w:topLinePunct w:val="0"/>
        <w:bidi w:val="0"/>
        <w:snapToGrid/>
        <w:spacing w:line="4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4.1   该房屋的租金按计租面积计付，乙方自进场日开始承担该房屋的租金。</w:t>
      </w:r>
      <w:r>
        <w:rPr>
          <w:rFonts w:hint="eastAsia" w:ascii="仿宋_GB2312" w:hAnsi="仿宋_GB2312" w:eastAsia="仿宋_GB2312" w:cs="仿宋_GB2312"/>
          <w:color w:val="auto"/>
          <w:sz w:val="32"/>
          <w:szCs w:val="32"/>
          <w:highlight w:val="none"/>
          <w:lang w:val="en-US" w:eastAsia="zh-CN"/>
        </w:rPr>
        <w:t xml:space="preserve">            </w:t>
      </w:r>
    </w:p>
    <w:p w14:paraId="3BD03BD2">
      <w:pPr>
        <w:pStyle w:val="2"/>
        <w:keepNext w:val="0"/>
        <w:keepLines w:val="0"/>
        <w:pageBreakBefore w:val="0"/>
        <w:widowControl w:val="0"/>
        <w:kinsoku/>
        <w:wordWrap/>
        <w:overflowPunct/>
        <w:topLinePunct w:val="0"/>
        <w:bidi w:val="0"/>
        <w:snapToGrid/>
        <w:spacing w:line="4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元</w:t>
      </w:r>
      <w:r>
        <w:rPr>
          <w:rFonts w:hint="eastAsia" w:ascii="仿宋_GB2312" w:hAnsi="仿宋_GB2312" w:eastAsia="仿宋_GB2312" w:cs="仿宋_GB2312"/>
          <w:color w:val="auto"/>
          <w:sz w:val="32"/>
          <w:szCs w:val="32"/>
          <w:highlight w:val="none"/>
          <w:lang w:eastAsia="zh-CN"/>
        </w:rPr>
        <w:t>）</w:t>
      </w:r>
    </w:p>
    <w:tbl>
      <w:tblPr>
        <w:tblStyle w:val="10"/>
        <w:tblW w:w="8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8"/>
        <w:gridCol w:w="1506"/>
        <w:gridCol w:w="1860"/>
        <w:gridCol w:w="1827"/>
        <w:gridCol w:w="1626"/>
      </w:tblGrid>
      <w:tr w14:paraId="7645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88" w:type="dxa"/>
            <w:vAlign w:val="center"/>
          </w:tcPr>
          <w:p w14:paraId="7883FA91">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vertAlign w:val="baseline"/>
                <w:lang w:val="en-US" w:eastAsia="zh-CN"/>
              </w:rPr>
            </w:pPr>
            <w:r>
              <w:rPr>
                <w:rFonts w:hint="eastAsia" w:ascii="仿宋_GB2312" w:hAnsi="仿宋_GB2312" w:eastAsia="仿宋_GB2312" w:cs="仿宋_GB2312"/>
                <w:b/>
                <w:bCs/>
                <w:color w:val="auto"/>
                <w:sz w:val="18"/>
                <w:szCs w:val="18"/>
                <w:highlight w:val="none"/>
                <w:vertAlign w:val="baseline"/>
                <w:lang w:val="en-US" w:eastAsia="zh-CN"/>
              </w:rPr>
              <w:t>序号</w:t>
            </w:r>
          </w:p>
        </w:tc>
        <w:tc>
          <w:tcPr>
            <w:tcW w:w="1506" w:type="dxa"/>
            <w:vAlign w:val="center"/>
          </w:tcPr>
          <w:p w14:paraId="6BC96CE7">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vertAlign w:val="baseline"/>
                <w:lang w:val="en-US" w:eastAsia="zh-CN"/>
              </w:rPr>
            </w:pPr>
            <w:r>
              <w:rPr>
                <w:rFonts w:hint="eastAsia" w:ascii="仿宋_GB2312" w:hAnsi="仿宋_GB2312" w:eastAsia="仿宋_GB2312" w:cs="仿宋_GB2312"/>
                <w:b/>
                <w:bCs/>
                <w:color w:val="auto"/>
                <w:sz w:val="18"/>
                <w:szCs w:val="18"/>
                <w:highlight w:val="none"/>
              </w:rPr>
              <w:t>租金</w:t>
            </w:r>
            <w:r>
              <w:rPr>
                <w:rFonts w:hint="eastAsia" w:ascii="仿宋_GB2312" w:hAnsi="仿宋_GB2312" w:eastAsia="仿宋_GB2312" w:cs="仿宋_GB2312"/>
                <w:b/>
                <w:bCs/>
                <w:color w:val="auto"/>
                <w:sz w:val="18"/>
                <w:szCs w:val="18"/>
                <w:highlight w:val="none"/>
                <w:lang w:val="en-US" w:eastAsia="zh-CN"/>
              </w:rPr>
              <w:t>标准</w:t>
            </w:r>
          </w:p>
        </w:tc>
        <w:tc>
          <w:tcPr>
            <w:tcW w:w="1860" w:type="dxa"/>
            <w:vAlign w:val="center"/>
          </w:tcPr>
          <w:p w14:paraId="3AA3260A">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rPr>
            </w:pPr>
            <w:r>
              <w:rPr>
                <w:rFonts w:hint="eastAsia" w:ascii="仿宋_GB2312" w:hAnsi="仿宋_GB2312" w:eastAsia="仿宋_GB2312" w:cs="仿宋_GB2312"/>
                <w:b/>
                <w:bCs/>
                <w:color w:val="auto"/>
                <w:sz w:val="18"/>
                <w:szCs w:val="18"/>
                <w:highlight w:val="none"/>
              </w:rPr>
              <w:t>每月租金</w:t>
            </w:r>
          </w:p>
          <w:p w14:paraId="0BE13379">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vertAlign w:val="baseline"/>
                <w:lang w:val="en-US" w:eastAsia="zh-CN"/>
              </w:rPr>
            </w:pPr>
            <w:r>
              <w:rPr>
                <w:rFonts w:hint="eastAsia" w:ascii="仿宋_GB2312" w:hAnsi="仿宋_GB2312" w:eastAsia="仿宋_GB2312" w:cs="仿宋_GB2312"/>
                <w:b/>
                <w:bCs/>
                <w:color w:val="auto"/>
                <w:sz w:val="18"/>
                <w:szCs w:val="18"/>
                <w:highlight w:val="none"/>
                <w:lang w:eastAsia="zh-CN"/>
              </w:rPr>
              <w:t>（</w:t>
            </w:r>
            <w:r>
              <w:rPr>
                <w:rFonts w:hint="eastAsia" w:ascii="仿宋_GB2312" w:hAnsi="仿宋_GB2312" w:eastAsia="仿宋_GB2312" w:cs="仿宋_GB2312"/>
                <w:b/>
                <w:bCs/>
                <w:color w:val="auto"/>
                <w:sz w:val="18"/>
                <w:szCs w:val="18"/>
                <w:highlight w:val="none"/>
                <w:lang w:val="en-US" w:eastAsia="zh-CN"/>
              </w:rPr>
              <w:t>含税，税率</w:t>
            </w:r>
            <w:r>
              <w:rPr>
                <w:rFonts w:hint="eastAsia" w:ascii="仿宋_GB2312" w:hAnsi="仿宋_GB2312" w:eastAsia="仿宋_GB2312" w:cs="仿宋_GB2312"/>
                <w:b/>
                <w:bCs/>
                <w:color w:val="auto"/>
                <w:sz w:val="18"/>
                <w:szCs w:val="18"/>
                <w:highlight w:val="none"/>
                <w:u w:val="single"/>
                <w:lang w:val="en-US" w:eastAsia="zh-CN"/>
              </w:rPr>
              <w:t>9</w:t>
            </w:r>
            <w:r>
              <w:rPr>
                <w:rFonts w:hint="eastAsia" w:ascii="仿宋_GB2312" w:hAnsi="仿宋_GB2312" w:eastAsia="仿宋_GB2312" w:cs="仿宋_GB2312"/>
                <w:b/>
                <w:bCs/>
                <w:color w:val="auto"/>
                <w:sz w:val="18"/>
                <w:szCs w:val="18"/>
                <w:highlight w:val="none"/>
                <w:lang w:val="en-US" w:eastAsia="zh-CN"/>
              </w:rPr>
              <w:t>%）</w:t>
            </w:r>
          </w:p>
        </w:tc>
        <w:tc>
          <w:tcPr>
            <w:tcW w:w="1827" w:type="dxa"/>
            <w:vAlign w:val="center"/>
          </w:tcPr>
          <w:p w14:paraId="129B6C61">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vertAlign w:val="baseline"/>
                <w:lang w:val="en-US" w:eastAsia="zh-CN"/>
              </w:rPr>
            </w:pPr>
            <w:r>
              <w:rPr>
                <w:rFonts w:hint="eastAsia" w:ascii="仿宋_GB2312" w:hAnsi="仿宋_GB2312" w:eastAsia="仿宋_GB2312" w:cs="仿宋_GB2312"/>
                <w:b/>
                <w:bCs/>
                <w:color w:val="auto"/>
                <w:sz w:val="18"/>
                <w:szCs w:val="18"/>
                <w:highlight w:val="none"/>
              </w:rPr>
              <w:t>每月租金</w:t>
            </w:r>
            <w:r>
              <w:rPr>
                <w:rFonts w:hint="eastAsia" w:ascii="仿宋_GB2312" w:hAnsi="仿宋_GB2312" w:eastAsia="仿宋_GB2312" w:cs="仿宋_GB2312"/>
                <w:b/>
                <w:bCs/>
                <w:color w:val="auto"/>
                <w:sz w:val="18"/>
                <w:szCs w:val="18"/>
                <w:highlight w:val="none"/>
                <w:lang w:eastAsia="zh-CN"/>
              </w:rPr>
              <w:t>（</w:t>
            </w:r>
            <w:r>
              <w:rPr>
                <w:rFonts w:hint="eastAsia" w:ascii="仿宋_GB2312" w:hAnsi="仿宋_GB2312" w:eastAsia="仿宋_GB2312" w:cs="仿宋_GB2312"/>
                <w:b/>
                <w:bCs/>
                <w:color w:val="auto"/>
                <w:sz w:val="18"/>
                <w:szCs w:val="18"/>
                <w:highlight w:val="none"/>
                <w:lang w:val="en-US" w:eastAsia="zh-CN"/>
              </w:rPr>
              <w:t>不含税）</w:t>
            </w:r>
          </w:p>
        </w:tc>
        <w:tc>
          <w:tcPr>
            <w:tcW w:w="1626" w:type="dxa"/>
            <w:vAlign w:val="center"/>
          </w:tcPr>
          <w:p w14:paraId="3930CEC4">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b/>
                <w:bCs/>
                <w:color w:val="auto"/>
                <w:sz w:val="18"/>
                <w:szCs w:val="18"/>
                <w:highlight w:val="none"/>
                <w:vertAlign w:val="baseline"/>
                <w:lang w:val="en-US" w:eastAsia="zh-CN"/>
              </w:rPr>
            </w:pPr>
            <w:r>
              <w:rPr>
                <w:rFonts w:hint="eastAsia" w:ascii="仿宋_GB2312" w:hAnsi="仿宋_GB2312" w:eastAsia="仿宋_GB2312" w:cs="仿宋_GB2312"/>
                <w:b/>
                <w:bCs/>
                <w:color w:val="auto"/>
                <w:sz w:val="18"/>
                <w:szCs w:val="18"/>
                <w:highlight w:val="none"/>
                <w:vertAlign w:val="baseline"/>
                <w:lang w:val="en-US" w:eastAsia="zh-CN"/>
              </w:rPr>
              <w:t>每年租金（含税）</w:t>
            </w:r>
          </w:p>
        </w:tc>
      </w:tr>
      <w:tr w14:paraId="7145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88" w:type="dxa"/>
            <w:vAlign w:val="center"/>
          </w:tcPr>
          <w:p w14:paraId="3B8522AE">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18"/>
                <w:szCs w:val="18"/>
                <w:highlight w:val="none"/>
              </w:rPr>
              <w:t>第一个租约年</w:t>
            </w:r>
          </w:p>
        </w:tc>
        <w:tc>
          <w:tcPr>
            <w:tcW w:w="1506" w:type="dxa"/>
            <w:vAlign w:val="center"/>
          </w:tcPr>
          <w:p w14:paraId="500526B1">
            <w:pPr>
              <w:keepNext w:val="0"/>
              <w:keepLines w:val="0"/>
              <w:pageBreakBefore w:val="0"/>
              <w:kinsoku/>
              <w:wordWrap/>
              <w:overflowPunct/>
              <w:topLinePunct w:val="0"/>
              <w:bidi w:val="0"/>
              <w:snapToGrid/>
              <w:spacing w:line="240" w:lineRule="auto"/>
              <w:ind w:firstLine="0" w:firstLineChars="0"/>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18"/>
                <w:szCs w:val="18"/>
                <w:highlight w:val="none"/>
                <w:lang w:val="en-US" w:eastAsia="zh-CN"/>
              </w:rPr>
              <w:t>2.26元/日/平方米</w:t>
            </w:r>
          </w:p>
        </w:tc>
        <w:tc>
          <w:tcPr>
            <w:tcW w:w="1860" w:type="dxa"/>
            <w:vAlign w:val="center"/>
          </w:tcPr>
          <w:p w14:paraId="26C7D664">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p>
        </w:tc>
        <w:tc>
          <w:tcPr>
            <w:tcW w:w="1827" w:type="dxa"/>
            <w:vAlign w:val="center"/>
          </w:tcPr>
          <w:p w14:paraId="64755BF9">
            <w:pPr>
              <w:keepNext w:val="0"/>
              <w:keepLines w:val="0"/>
              <w:pageBreakBefore w:val="0"/>
              <w:kinsoku/>
              <w:wordWrap/>
              <w:overflowPunct/>
              <w:topLinePunct w:val="0"/>
              <w:bidi w:val="0"/>
              <w:snapToGrid/>
              <w:spacing w:line="240" w:lineRule="auto"/>
              <w:contextualSpacing/>
              <w:jc w:val="both"/>
              <w:textAlignment w:val="top"/>
              <w:rPr>
                <w:rFonts w:hint="default" w:ascii="仿宋_GB2312" w:hAnsi="仿宋_GB2312" w:eastAsia="仿宋_GB2312" w:cs="仿宋_GB2312"/>
                <w:color w:val="auto"/>
                <w:kern w:val="2"/>
                <w:sz w:val="18"/>
                <w:szCs w:val="18"/>
                <w:highlight w:val="none"/>
                <w:vertAlign w:val="baseline"/>
                <w:lang w:val="en-US" w:eastAsia="zh-CN" w:bidi="ar-SA"/>
              </w:rPr>
            </w:pPr>
          </w:p>
        </w:tc>
        <w:tc>
          <w:tcPr>
            <w:tcW w:w="1626" w:type="dxa"/>
            <w:vAlign w:val="center"/>
          </w:tcPr>
          <w:p w14:paraId="61AD9B8E">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kern w:val="2"/>
                <w:sz w:val="18"/>
                <w:szCs w:val="18"/>
                <w:highlight w:val="none"/>
                <w:vertAlign w:val="baseline"/>
                <w:lang w:val="en-US" w:eastAsia="zh-CN" w:bidi="ar-SA"/>
              </w:rPr>
            </w:pPr>
          </w:p>
        </w:tc>
      </w:tr>
      <w:tr w14:paraId="499F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88" w:type="dxa"/>
            <w:vAlign w:val="center"/>
          </w:tcPr>
          <w:p w14:paraId="186462DE">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18"/>
                <w:szCs w:val="18"/>
                <w:highlight w:val="none"/>
              </w:rPr>
              <w:t>第二个租约年</w:t>
            </w:r>
          </w:p>
        </w:tc>
        <w:tc>
          <w:tcPr>
            <w:tcW w:w="1506" w:type="dxa"/>
            <w:vAlign w:val="center"/>
          </w:tcPr>
          <w:p w14:paraId="6C2DA03D">
            <w:pPr>
              <w:keepNext w:val="0"/>
              <w:keepLines w:val="0"/>
              <w:pageBreakBefore w:val="0"/>
              <w:kinsoku/>
              <w:wordWrap/>
              <w:overflowPunct/>
              <w:topLinePunct w:val="0"/>
              <w:bidi w:val="0"/>
              <w:snapToGrid/>
              <w:spacing w:line="240" w:lineRule="auto"/>
              <w:ind w:firstLine="0" w:firstLineChars="0"/>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18"/>
                <w:szCs w:val="18"/>
                <w:highlight w:val="none"/>
                <w:lang w:val="en-US" w:eastAsia="zh-CN"/>
              </w:rPr>
              <w:t>2.26元/日/平方米</w:t>
            </w:r>
          </w:p>
        </w:tc>
        <w:tc>
          <w:tcPr>
            <w:tcW w:w="1860" w:type="dxa"/>
            <w:vAlign w:val="center"/>
          </w:tcPr>
          <w:p w14:paraId="6157375B">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p>
        </w:tc>
        <w:tc>
          <w:tcPr>
            <w:tcW w:w="1827" w:type="dxa"/>
            <w:vAlign w:val="center"/>
          </w:tcPr>
          <w:p w14:paraId="6F0AF28E">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kern w:val="2"/>
                <w:sz w:val="18"/>
                <w:szCs w:val="18"/>
                <w:highlight w:val="none"/>
                <w:vertAlign w:val="baseline"/>
                <w:lang w:val="en-US" w:eastAsia="zh-CN" w:bidi="ar-SA"/>
              </w:rPr>
            </w:pPr>
          </w:p>
        </w:tc>
        <w:tc>
          <w:tcPr>
            <w:tcW w:w="1626" w:type="dxa"/>
            <w:vAlign w:val="center"/>
          </w:tcPr>
          <w:p w14:paraId="034EC7D5">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kern w:val="2"/>
                <w:sz w:val="18"/>
                <w:szCs w:val="18"/>
                <w:highlight w:val="none"/>
                <w:vertAlign w:val="baseline"/>
                <w:lang w:val="en-US" w:eastAsia="zh-CN" w:bidi="ar-SA"/>
              </w:rPr>
            </w:pPr>
          </w:p>
        </w:tc>
      </w:tr>
      <w:tr w14:paraId="40DF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88" w:type="dxa"/>
            <w:vAlign w:val="center"/>
          </w:tcPr>
          <w:p w14:paraId="212099FF">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第</w:t>
            </w:r>
            <w:r>
              <w:rPr>
                <w:rFonts w:hint="eastAsia" w:ascii="仿宋_GB2312" w:hAnsi="仿宋_GB2312" w:eastAsia="仿宋_GB2312" w:cs="仿宋_GB2312"/>
                <w:color w:val="auto"/>
                <w:sz w:val="18"/>
                <w:szCs w:val="18"/>
                <w:highlight w:val="none"/>
                <w:lang w:val="en-US" w:eastAsia="zh-CN"/>
              </w:rPr>
              <w:t>三</w:t>
            </w:r>
            <w:r>
              <w:rPr>
                <w:rFonts w:hint="eastAsia" w:ascii="仿宋_GB2312" w:hAnsi="仿宋_GB2312" w:eastAsia="仿宋_GB2312" w:cs="仿宋_GB2312"/>
                <w:color w:val="auto"/>
                <w:sz w:val="18"/>
                <w:szCs w:val="18"/>
                <w:highlight w:val="none"/>
              </w:rPr>
              <w:t>个租约年</w:t>
            </w:r>
          </w:p>
        </w:tc>
        <w:tc>
          <w:tcPr>
            <w:tcW w:w="1506" w:type="dxa"/>
            <w:vAlign w:val="center"/>
          </w:tcPr>
          <w:p w14:paraId="3601030C">
            <w:pPr>
              <w:keepNext w:val="0"/>
              <w:keepLines w:val="0"/>
              <w:pageBreakBefore w:val="0"/>
              <w:kinsoku/>
              <w:wordWrap/>
              <w:overflowPunct/>
              <w:topLinePunct w:val="0"/>
              <w:bidi w:val="0"/>
              <w:snapToGrid/>
              <w:spacing w:line="240" w:lineRule="auto"/>
              <w:ind w:firstLine="0" w:firstLineChars="0"/>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18"/>
                <w:szCs w:val="18"/>
                <w:highlight w:val="none"/>
                <w:lang w:val="en-US" w:eastAsia="zh-CN"/>
              </w:rPr>
              <w:t>2.26元/日/平方米</w:t>
            </w:r>
          </w:p>
        </w:tc>
        <w:tc>
          <w:tcPr>
            <w:tcW w:w="1860" w:type="dxa"/>
            <w:vAlign w:val="center"/>
          </w:tcPr>
          <w:p w14:paraId="08038520">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sz w:val="18"/>
                <w:szCs w:val="18"/>
                <w:highlight w:val="none"/>
                <w:vertAlign w:val="baseline"/>
                <w:lang w:val="en-US" w:eastAsia="zh-CN"/>
              </w:rPr>
            </w:pPr>
          </w:p>
        </w:tc>
        <w:tc>
          <w:tcPr>
            <w:tcW w:w="1827" w:type="dxa"/>
            <w:vAlign w:val="center"/>
          </w:tcPr>
          <w:p w14:paraId="694C2082">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kern w:val="2"/>
                <w:sz w:val="18"/>
                <w:szCs w:val="18"/>
                <w:highlight w:val="none"/>
                <w:vertAlign w:val="baseline"/>
                <w:lang w:val="en-US" w:eastAsia="zh-CN" w:bidi="ar-SA"/>
              </w:rPr>
            </w:pPr>
          </w:p>
        </w:tc>
        <w:tc>
          <w:tcPr>
            <w:tcW w:w="1626" w:type="dxa"/>
            <w:vAlign w:val="center"/>
          </w:tcPr>
          <w:p w14:paraId="7CFA4901">
            <w:pPr>
              <w:keepNext w:val="0"/>
              <w:keepLines w:val="0"/>
              <w:pageBreakBefore w:val="0"/>
              <w:kinsoku/>
              <w:wordWrap/>
              <w:overflowPunct/>
              <w:topLinePunct w:val="0"/>
              <w:bidi w:val="0"/>
              <w:snapToGrid/>
              <w:spacing w:line="240" w:lineRule="auto"/>
              <w:contextualSpacing/>
              <w:jc w:val="both"/>
              <w:textAlignment w:val="top"/>
              <w:rPr>
                <w:rFonts w:hint="eastAsia" w:ascii="仿宋_GB2312" w:hAnsi="仿宋_GB2312" w:eastAsia="仿宋_GB2312" w:cs="仿宋_GB2312"/>
                <w:color w:val="auto"/>
                <w:kern w:val="2"/>
                <w:sz w:val="18"/>
                <w:szCs w:val="18"/>
                <w:highlight w:val="none"/>
                <w:vertAlign w:val="baseline"/>
                <w:lang w:val="en-US" w:eastAsia="zh-CN" w:bidi="ar-SA"/>
              </w:rPr>
            </w:pPr>
          </w:p>
        </w:tc>
      </w:tr>
    </w:tbl>
    <w:p w14:paraId="7E5F3001">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本合同租期为3年，乙方一次性向甲方缴纳首年租金金额为</w:t>
      </w:r>
      <w:r>
        <w:rPr>
          <w:rFonts w:hint="eastAsia" w:ascii="仿宋_GB2312" w:hAnsi="仿宋_GB2312" w:eastAsia="仿宋_GB2312" w:cs="仿宋_GB2312"/>
          <w:color w:val="auto"/>
          <w:sz w:val="32"/>
          <w:szCs w:val="32"/>
          <w:highlight w:val="none"/>
          <w:u w:val="single"/>
          <w:lang w:val="en-US" w:eastAsia="zh-CN"/>
        </w:rPr>
        <w:t xml:space="preserve">     元，大写：          </w:t>
      </w:r>
      <w:r>
        <w:rPr>
          <w:rFonts w:hint="eastAsia" w:ascii="仿宋_GB2312" w:hAnsi="仿宋_GB2312" w:eastAsia="仿宋_GB2312" w:cs="仿宋_GB2312"/>
          <w:color w:val="auto"/>
          <w:sz w:val="32"/>
          <w:szCs w:val="32"/>
          <w:highlight w:val="none"/>
          <w:lang w:val="en-US" w:eastAsia="zh-CN"/>
        </w:rPr>
        <w:t>（含税，税率为9%）</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lang w:val="en-US" w:eastAsia="zh-CN"/>
        </w:rPr>
        <w:t>6个月押金为</w:t>
      </w:r>
      <w:r>
        <w:rPr>
          <w:rFonts w:hint="eastAsia" w:ascii="仿宋_GB2312" w:hAnsi="仿宋_GB2312" w:eastAsia="仿宋_GB2312" w:cs="仿宋_GB2312"/>
          <w:color w:val="auto"/>
          <w:sz w:val="32"/>
          <w:szCs w:val="32"/>
          <w:highlight w:val="none"/>
          <w:u w:val="single"/>
          <w:lang w:val="en-US" w:eastAsia="zh-CN"/>
        </w:rPr>
        <w:t xml:space="preserve">      元，大写：         </w:t>
      </w:r>
      <w:r>
        <w:rPr>
          <w:rFonts w:hint="eastAsia" w:ascii="仿宋_GB2312" w:hAnsi="仿宋_GB2312" w:eastAsia="仿宋_GB2312" w:cs="仿宋_GB2312"/>
          <w:color w:val="auto"/>
          <w:sz w:val="32"/>
          <w:szCs w:val="32"/>
          <w:highlight w:val="none"/>
          <w:lang w:val="en-US" w:eastAsia="zh-CN"/>
        </w:rPr>
        <w:t>，押金自解除协议之日后15个工作日无息退还</w:t>
      </w:r>
      <w:r>
        <w:rPr>
          <w:rFonts w:hint="eastAsia" w:ascii="仿宋_GB2312" w:hAnsi="仿宋_GB2312" w:eastAsia="仿宋_GB2312" w:cs="仿宋_GB2312"/>
          <w:color w:val="auto"/>
          <w:sz w:val="32"/>
          <w:szCs w:val="32"/>
          <w:highlight w:val="none"/>
        </w:rPr>
        <w:t>。</w:t>
      </w:r>
    </w:p>
    <w:p w14:paraId="4C6C584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4.2本合同项下的租金支付方式为：首期租金为进场日起开始计算，租金按每一个完整的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租约年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为一个交租期交纳。本合同项下首期租金应于本合同签订后5个工作日内支付</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后续租金</w:t>
      </w:r>
      <w:r>
        <w:rPr>
          <w:rFonts w:hint="eastAsia" w:ascii="仿宋_GB2312" w:hAnsi="仿宋_GB2312" w:eastAsia="仿宋_GB2312" w:cs="仿宋_GB2312"/>
          <w:color w:val="auto"/>
          <w:sz w:val="32"/>
          <w:szCs w:val="32"/>
          <w:highlight w:val="none"/>
        </w:rPr>
        <w:t>应当在</w:t>
      </w:r>
      <w:r>
        <w:rPr>
          <w:rFonts w:hint="eastAsia" w:ascii="仿宋_GB2312" w:hAnsi="仿宋_GB2312" w:eastAsia="仿宋_GB2312" w:cs="仿宋_GB2312"/>
          <w:color w:val="auto"/>
          <w:sz w:val="32"/>
          <w:szCs w:val="32"/>
          <w:highlight w:val="none"/>
          <w:lang w:val="en-US" w:eastAsia="zh-CN"/>
        </w:rPr>
        <w:t>前一</w:t>
      </w:r>
      <w:r>
        <w:rPr>
          <w:rFonts w:hint="eastAsia" w:ascii="仿宋_GB2312" w:hAnsi="仿宋_GB2312" w:eastAsia="仿宋_GB2312" w:cs="仿宋_GB2312"/>
          <w:color w:val="auto"/>
          <w:sz w:val="32"/>
          <w:szCs w:val="32"/>
          <w:highlight w:val="none"/>
        </w:rPr>
        <w:t>交租期最后一个月的</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5日前（若</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5日为法定节假日则提前至法定节假日前最后一天），向甲方一次性足额支付。</w:t>
      </w:r>
    </w:p>
    <w:p w14:paraId="66AF59CC">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乙方足额</w:t>
      </w:r>
      <w:r>
        <w:rPr>
          <w:rFonts w:hint="eastAsia" w:ascii="仿宋_GB2312" w:hAnsi="仿宋_GB2312" w:eastAsia="仿宋_GB2312" w:cs="仿宋_GB2312"/>
          <w:color w:val="auto"/>
          <w:sz w:val="32"/>
          <w:szCs w:val="32"/>
          <w:highlight w:val="none"/>
          <w:lang w:eastAsia="zh-CN"/>
        </w:rPr>
        <w:t>缴纳</w:t>
      </w:r>
      <w:r>
        <w:rPr>
          <w:rFonts w:hint="eastAsia" w:ascii="仿宋_GB2312" w:hAnsi="仿宋_GB2312" w:eastAsia="仿宋_GB2312" w:cs="仿宋_GB2312"/>
          <w:color w:val="auto"/>
          <w:sz w:val="32"/>
          <w:szCs w:val="32"/>
          <w:highlight w:val="none"/>
        </w:rPr>
        <w:t>租金后10个工作日</w:t>
      </w:r>
      <w:r>
        <w:rPr>
          <w:rFonts w:hint="eastAsia" w:ascii="仿宋_GB2312" w:hAnsi="仿宋_GB2312" w:eastAsia="仿宋_GB2312" w:cs="仿宋_GB2312"/>
          <w:color w:val="auto"/>
          <w:sz w:val="32"/>
          <w:szCs w:val="32"/>
          <w:highlight w:val="none"/>
          <w:lang w:val="en-US" w:eastAsia="zh-CN"/>
        </w:rPr>
        <w:t>后</w:t>
      </w:r>
      <w:r>
        <w:rPr>
          <w:rFonts w:hint="eastAsia" w:ascii="仿宋_GB2312" w:hAnsi="仿宋_GB2312" w:eastAsia="仿宋_GB2312" w:cs="仿宋_GB2312"/>
          <w:color w:val="auto"/>
          <w:sz w:val="32"/>
          <w:szCs w:val="32"/>
          <w:highlight w:val="none"/>
        </w:rPr>
        <w:t>，甲方向乙方开具等额的增值</w:t>
      </w:r>
      <w:r>
        <w:rPr>
          <w:rFonts w:hint="eastAsia" w:ascii="仿宋_GB2312" w:hAnsi="仿宋_GB2312" w:eastAsia="仿宋_GB2312" w:cs="仿宋_GB2312"/>
          <w:color w:val="auto"/>
          <w:sz w:val="32"/>
          <w:szCs w:val="32"/>
          <w:highlight w:val="none"/>
          <w:lang w:eastAsia="zh-CN"/>
        </w:rPr>
        <w:t>税</w:t>
      </w:r>
      <w:r>
        <w:rPr>
          <w:rFonts w:hint="eastAsia" w:ascii="仿宋_GB2312" w:hAnsi="仿宋_GB2312" w:eastAsia="仿宋_GB2312" w:cs="仿宋_GB2312"/>
          <w:color w:val="auto"/>
          <w:sz w:val="32"/>
          <w:szCs w:val="32"/>
          <w:highlight w:val="none"/>
          <w:lang w:val="en-US" w:eastAsia="zh-CN"/>
        </w:rPr>
        <w:t>普通</w:t>
      </w:r>
      <w:r>
        <w:rPr>
          <w:rFonts w:hint="eastAsia" w:ascii="仿宋_GB2312" w:hAnsi="仿宋_GB2312" w:eastAsia="仿宋_GB2312" w:cs="仿宋_GB2312"/>
          <w:color w:val="auto"/>
          <w:sz w:val="32"/>
          <w:szCs w:val="32"/>
          <w:highlight w:val="none"/>
          <w:lang w:eastAsia="zh-CN"/>
        </w:rPr>
        <w:t>发票</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lang w:eastAsia="zh-CN"/>
        </w:rPr>
        <w:t>发票。</w:t>
      </w:r>
    </w:p>
    <w:p w14:paraId="1B302E7E">
      <w:pPr>
        <w:keepNext w:val="0"/>
        <w:keepLines w:val="0"/>
        <w:pageBreakBefore w:val="0"/>
        <w:kinsoku/>
        <w:wordWrap/>
        <w:overflowPunct/>
        <w:topLinePunct w:val="0"/>
        <w:bidi w:val="0"/>
        <w:adjustRightInd/>
        <w:snapToGrid/>
        <w:spacing w:line="4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本合同约定的不含增值税价款，除甲乙双方另行约定外，不因增值税税率调整而变化。如遇增值税税率调整，则按国家规定的税率与未开发票部分对应的不含税价，计算剩余应支付的含税价款。</w:t>
      </w:r>
    </w:p>
    <w:p w14:paraId="6155586A">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highlight w:val="none"/>
        </w:rPr>
        <w:t>甲方收款账号信息</w:t>
      </w:r>
    </w:p>
    <w:p w14:paraId="6084350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【公司名称】：</w:t>
      </w:r>
      <w:r>
        <w:rPr>
          <w:rFonts w:hint="eastAsia" w:ascii="仿宋_GB2312" w:hAnsi="仿宋_GB2312" w:eastAsia="仿宋_GB2312" w:cs="仿宋_GB2312"/>
          <w:color w:val="auto"/>
          <w:kern w:val="2"/>
          <w:sz w:val="32"/>
          <w:szCs w:val="32"/>
          <w:highlight w:val="none"/>
          <w:lang w:val="en-US" w:eastAsia="zh-CN" w:bidi="ar-SA"/>
        </w:rPr>
        <w:t>辽宁方大总医院有限公司</w:t>
      </w:r>
    </w:p>
    <w:p w14:paraId="00DB71E4">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rPr>
        <w:t>【银行账号】：</w:t>
      </w:r>
      <w:r>
        <w:rPr>
          <w:rFonts w:hint="eastAsia" w:ascii="仿宋_GB2312" w:hAnsi="仿宋_GB2312" w:eastAsia="仿宋_GB2312" w:cs="仿宋_GB2312"/>
          <w:color w:val="auto"/>
          <w:kern w:val="2"/>
          <w:sz w:val="32"/>
          <w:szCs w:val="32"/>
          <w:highlight w:val="none"/>
          <w:lang w:val="en-US" w:eastAsia="zh-CN" w:bidi="ar-SA"/>
        </w:rPr>
        <w:t>XXXXXXXXXXX</w:t>
      </w:r>
    </w:p>
    <w:p w14:paraId="1F73692C">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w w:val="90"/>
          <w:kern w:val="2"/>
          <w:sz w:val="32"/>
          <w:szCs w:val="32"/>
          <w:highlight w:val="none"/>
          <w:lang w:val="en-US" w:eastAsia="zh-CN" w:bidi="ar-SA"/>
        </w:rPr>
      </w:pPr>
      <w:r>
        <w:rPr>
          <w:rFonts w:hint="eastAsia" w:ascii="仿宋_GB2312" w:hAnsi="仿宋_GB2312" w:eastAsia="仿宋_GB2312" w:cs="仿宋_GB2312"/>
          <w:color w:val="auto"/>
          <w:sz w:val="32"/>
          <w:szCs w:val="32"/>
          <w:highlight w:val="none"/>
        </w:rPr>
        <w:t>【开 户 行】：</w:t>
      </w:r>
      <w:r>
        <w:rPr>
          <w:rFonts w:hint="eastAsia" w:ascii="仿宋_GB2312" w:hAnsi="仿宋_GB2312" w:eastAsia="仿宋_GB2312" w:cs="仿宋_GB2312"/>
          <w:color w:val="auto"/>
          <w:w w:val="90"/>
          <w:kern w:val="2"/>
          <w:sz w:val="32"/>
          <w:szCs w:val="32"/>
          <w:highlight w:val="none"/>
          <w:lang w:val="en-US" w:eastAsia="zh-CN" w:bidi="ar-SA"/>
        </w:rPr>
        <w:t>XXXXXXXXXXX</w:t>
      </w:r>
    </w:p>
    <w:p w14:paraId="0F1BC46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【纳税人识别号】：</w:t>
      </w:r>
      <w:r>
        <w:rPr>
          <w:rFonts w:hint="eastAsia" w:ascii="仿宋_GB2312" w:hAnsi="仿宋_GB2312" w:eastAsia="仿宋_GB2312" w:cs="仿宋_GB2312"/>
          <w:color w:val="auto"/>
          <w:kern w:val="2"/>
          <w:sz w:val="32"/>
          <w:szCs w:val="32"/>
          <w:highlight w:val="none"/>
          <w:lang w:val="en-US" w:eastAsia="zh-CN" w:bidi="ar-SA"/>
        </w:rPr>
        <w:t>91211500MA107E6Y14</w:t>
      </w:r>
    </w:p>
    <w:p w14:paraId="5971E0F5">
      <w:pPr>
        <w:keepNext w:val="0"/>
        <w:keepLines w:val="0"/>
        <w:pageBreakBefore w:val="0"/>
        <w:numPr>
          <w:ilvl w:val="0"/>
          <w:numId w:val="1"/>
        </w:numPr>
        <w:kinsoku/>
        <w:wordWrap/>
        <w:overflowPunct/>
        <w:topLinePunct w:val="0"/>
        <w:bidi w:val="0"/>
        <w:adjustRightInd/>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品牌、经营项目</w:t>
      </w:r>
    </w:p>
    <w:p w14:paraId="63A5117D">
      <w:pPr>
        <w:keepNext w:val="0"/>
        <w:keepLines w:val="0"/>
        <w:pageBreakBefore w:val="0"/>
        <w:tabs>
          <w:tab w:val="left" w:pos="640"/>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cyan"/>
          <w:u w:val="single"/>
        </w:rPr>
      </w:pPr>
      <w:r>
        <w:rPr>
          <w:rFonts w:hint="eastAsia" w:ascii="仿宋_GB2312" w:hAnsi="仿宋_GB2312" w:eastAsia="仿宋_GB2312" w:cs="仿宋_GB2312"/>
          <w:color w:val="auto"/>
          <w:sz w:val="32"/>
          <w:szCs w:val="32"/>
        </w:rPr>
        <w:t xml:space="preserve">5.1  </w:t>
      </w:r>
      <w:r>
        <w:rPr>
          <w:rFonts w:hint="eastAsia" w:ascii="仿宋_GB2312" w:hAnsi="仿宋_GB2312" w:eastAsia="仿宋_GB2312" w:cs="仿宋_GB2312"/>
          <w:color w:val="auto"/>
          <w:w w:val="90"/>
          <w:sz w:val="32"/>
          <w:szCs w:val="32"/>
          <w:highlight w:val="none"/>
        </w:rPr>
        <w:t>乙方在该房屋内经营品牌为</w:t>
      </w:r>
      <w:r>
        <w:rPr>
          <w:rFonts w:hint="eastAsia" w:ascii="仿宋_GB2312" w:hAnsi="仿宋_GB2312" w:eastAsia="仿宋_GB2312" w:cs="仿宋_GB2312"/>
          <w:color w:val="auto"/>
          <w:w w:val="90"/>
          <w:sz w:val="32"/>
          <w:szCs w:val="32"/>
          <w:highlight w:val="none"/>
          <w:u w:val="single"/>
          <w:lang w:val="en-US" w:eastAsia="zh-CN"/>
        </w:rPr>
        <w:t>/</w:t>
      </w:r>
      <w:r>
        <w:rPr>
          <w:rFonts w:hint="eastAsia" w:ascii="仿宋_GB2312" w:hAnsi="仿宋_GB2312" w:eastAsia="仿宋_GB2312" w:cs="仿宋_GB2312"/>
          <w:color w:val="auto"/>
          <w:w w:val="90"/>
          <w:sz w:val="32"/>
          <w:szCs w:val="32"/>
          <w:highlight w:val="none"/>
        </w:rPr>
        <w:t>，经营项目</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基本经营业态为</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lang w:eastAsia="zh-CN"/>
        </w:rPr>
        <w:t>。</w:t>
      </w:r>
    </w:p>
    <w:p w14:paraId="34EAC316">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5.2  乙方向甲方承诺，租赁该房屋经营仅作商业用途，乙方商标或商号限于</w:t>
      </w:r>
      <w:r>
        <w:rPr>
          <w:rFonts w:hint="eastAsia" w:ascii="仿宋_GB2312" w:hAnsi="仿宋_GB2312" w:eastAsia="仿宋_GB2312" w:cs="仿宋_GB2312"/>
          <w:color w:val="auto"/>
          <w:sz w:val="32"/>
          <w:szCs w:val="32"/>
          <w:lang w:val="en-US" w:eastAsia="zh-CN"/>
        </w:rPr>
        <w:t>上述</w:t>
      </w:r>
      <w:r>
        <w:rPr>
          <w:rFonts w:hint="eastAsia" w:ascii="仿宋_GB2312" w:hAnsi="仿宋_GB2312" w:eastAsia="仿宋_GB2312" w:cs="仿宋_GB2312"/>
          <w:color w:val="auto"/>
          <w:sz w:val="32"/>
          <w:szCs w:val="32"/>
        </w:rPr>
        <w:t>品牌。乙方保证在租赁期内始终为该商标或商号的法定权利人或授权经营人，使用该房屋</w:t>
      </w:r>
      <w:r>
        <w:rPr>
          <w:rFonts w:hint="eastAsia" w:ascii="仿宋_GB2312" w:hAnsi="仿宋_GB2312" w:eastAsia="仿宋_GB2312" w:cs="仿宋_GB2312"/>
          <w:color w:val="auto"/>
          <w:sz w:val="32"/>
          <w:szCs w:val="32"/>
          <w:lang w:val="en-US" w:eastAsia="zh-CN"/>
        </w:rPr>
        <w:t>仅</w:t>
      </w:r>
      <w:r>
        <w:rPr>
          <w:rFonts w:hint="eastAsia" w:ascii="仿宋_GB2312" w:hAnsi="仿宋_GB2312" w:eastAsia="仿宋_GB2312" w:cs="仿宋_GB2312"/>
          <w:color w:val="auto"/>
          <w:sz w:val="32"/>
          <w:szCs w:val="32"/>
        </w:rPr>
        <w:t>做前述约定之用途。</w:t>
      </w:r>
    </w:p>
    <w:p w14:paraId="09E67CD6">
      <w:pPr>
        <w:keepNext w:val="0"/>
        <w:keepLines w:val="0"/>
        <w:pageBreakBefore w:val="0"/>
        <w:tabs>
          <w:tab w:val="left" w:pos="640"/>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5.3  </w:t>
      </w:r>
      <w:r>
        <w:rPr>
          <w:rFonts w:hint="eastAsia" w:ascii="仿宋_GB2312" w:hAnsi="仿宋_GB2312" w:eastAsia="仿宋_GB2312" w:cs="仿宋_GB2312"/>
          <w:color w:val="auto"/>
          <w:sz w:val="32"/>
          <w:szCs w:val="32"/>
          <w:highlight w:val="none"/>
          <w:u w:val="none"/>
          <w:lang w:val="en-US" w:eastAsia="zh-CN"/>
        </w:rPr>
        <w:t>要求乙方应</w:t>
      </w:r>
      <w:r>
        <w:rPr>
          <w:rFonts w:hint="eastAsia" w:ascii="仿宋_GB2312" w:hAnsi="仿宋_GB2312" w:eastAsia="仿宋_GB2312" w:cs="仿宋_GB2312"/>
          <w:color w:val="auto"/>
          <w:sz w:val="32"/>
          <w:szCs w:val="32"/>
          <w:highlight w:val="none"/>
          <w:u w:val="none"/>
          <w:lang w:eastAsia="zh-CN"/>
        </w:rPr>
        <w:t>在规定的经营区域、经营时间、经营范围内提供相关服务，严禁超区域及范围经营。</w:t>
      </w:r>
      <w:r>
        <w:rPr>
          <w:rFonts w:hint="eastAsia" w:ascii="仿宋_GB2312" w:hAnsi="仿宋_GB2312" w:eastAsia="仿宋_GB2312" w:cs="仿宋_GB2312"/>
          <w:color w:val="auto"/>
          <w:sz w:val="32"/>
          <w:szCs w:val="32"/>
          <w:highlight w:val="none"/>
          <w:u w:val="none"/>
          <w:lang w:val="en-US" w:eastAsia="zh-CN"/>
        </w:rPr>
        <w:t>且</w:t>
      </w:r>
      <w:r>
        <w:rPr>
          <w:rFonts w:hint="eastAsia" w:ascii="仿宋_GB2312" w:hAnsi="仿宋_GB2312" w:eastAsia="仿宋_GB2312" w:cs="仿宋_GB2312"/>
          <w:color w:val="auto"/>
          <w:sz w:val="32"/>
          <w:szCs w:val="32"/>
          <w:highlight w:val="none"/>
          <w:lang w:val="en-US" w:eastAsia="zh-CN"/>
        </w:rPr>
        <w:t>乙方应依法开展经营活动，不得销售假冒伪劣商品、危险品、违禁品等产品。</w:t>
      </w:r>
      <w:r>
        <w:rPr>
          <w:rFonts w:hint="eastAsia" w:ascii="仿宋_GB2312" w:hAnsi="仿宋_GB2312" w:eastAsia="仿宋_GB2312" w:cs="仿宋_GB2312"/>
          <w:color w:val="auto"/>
          <w:sz w:val="32"/>
          <w:szCs w:val="32"/>
          <w:highlight w:val="none"/>
          <w:u w:val="none"/>
          <w:lang w:eastAsia="zh-CN"/>
        </w:rPr>
        <w:t>严禁</w:t>
      </w:r>
      <w:r>
        <w:rPr>
          <w:rFonts w:hint="eastAsia" w:ascii="仿宋_GB2312" w:hAnsi="仿宋_GB2312" w:eastAsia="仿宋_GB2312" w:cs="仿宋_GB2312"/>
          <w:color w:val="auto"/>
          <w:sz w:val="32"/>
          <w:szCs w:val="32"/>
          <w:highlight w:val="none"/>
          <w:u w:val="none"/>
          <w:lang w:val="en-US" w:eastAsia="zh-CN"/>
        </w:rPr>
        <w:t>经营酒吧、歌舞厅等范围，不得从事违法违规经营的活动</w:t>
      </w:r>
      <w:r>
        <w:rPr>
          <w:rFonts w:hint="eastAsia" w:ascii="仿宋_GB2312" w:hAnsi="仿宋_GB2312" w:eastAsia="仿宋_GB2312" w:cs="仿宋_GB2312"/>
          <w:color w:val="auto"/>
          <w:sz w:val="32"/>
          <w:szCs w:val="32"/>
          <w:highlight w:val="none"/>
        </w:rPr>
        <w:t>。</w:t>
      </w:r>
    </w:p>
    <w:p w14:paraId="3AB922E6">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乙方按工商行政管理部门核定的经营范围及本合同规定的经营项目，依法依规经营管理，接受行政司法、卫生防疫等执法部门和甲方的监督管理。</w:t>
      </w:r>
    </w:p>
    <w:p w14:paraId="3173049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  租赁期限内，未经甲方及物业服务公司书面同意，</w:t>
      </w:r>
      <w:r>
        <w:rPr>
          <w:rFonts w:hint="eastAsia" w:ascii="仿宋_GB2312" w:hAnsi="仿宋_GB2312" w:eastAsia="仿宋_GB2312" w:cs="仿宋_GB2312"/>
          <w:color w:val="auto"/>
          <w:sz w:val="32"/>
          <w:szCs w:val="32"/>
          <w:highlight w:val="none"/>
          <w:lang w:val="en-US" w:eastAsia="zh-CN"/>
        </w:rPr>
        <w:t>若</w:t>
      </w:r>
      <w:r>
        <w:rPr>
          <w:rFonts w:hint="eastAsia" w:ascii="仿宋_GB2312" w:hAnsi="仿宋_GB2312" w:eastAsia="仿宋_GB2312" w:cs="仿宋_GB2312"/>
          <w:color w:val="auto"/>
          <w:sz w:val="32"/>
          <w:szCs w:val="32"/>
          <w:highlight w:val="none"/>
        </w:rPr>
        <w:t>乙方使用其他品牌或经营其他项目，或者擅自改变该房屋的上述用途，则甲方或物业服务公司有权要求乙方在</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日内纠正；逾期未纠正或累计要求纠正</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次（含</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次）以上的，甲方有权解除本合同，乙方承担导致本合同提前终止的违约责任。</w:t>
      </w:r>
    </w:p>
    <w:p w14:paraId="0D703873">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 xml:space="preserve">第六条  </w:t>
      </w:r>
      <w:r>
        <w:rPr>
          <w:rFonts w:hint="eastAsia" w:ascii="仿宋_GB2312" w:hAnsi="仿宋_GB2312" w:eastAsia="仿宋_GB2312" w:cs="仿宋_GB2312"/>
          <w:b/>
          <w:bCs/>
          <w:color w:val="auto"/>
          <w:sz w:val="32"/>
          <w:szCs w:val="32"/>
          <w:highlight w:val="none"/>
          <w:lang w:val="en-US" w:eastAsia="zh-CN"/>
        </w:rPr>
        <w:t>履约抵押金</w:t>
      </w:r>
    </w:p>
    <w:p w14:paraId="2E7D5B3B">
      <w:pPr>
        <w:keepNext w:val="0"/>
        <w:keepLines w:val="0"/>
        <w:pageBreakBefore w:val="0"/>
        <w:tabs>
          <w:tab w:val="left" w:pos="1155"/>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  本合同签署当日，</w:t>
      </w:r>
      <w:r>
        <w:rPr>
          <w:rFonts w:hint="eastAsia" w:ascii="仿宋_GB2312" w:hAnsi="仿宋_GB2312" w:eastAsia="仿宋_GB2312" w:cs="仿宋_GB2312"/>
          <w:color w:val="auto"/>
          <w:sz w:val="32"/>
          <w:szCs w:val="32"/>
          <w:highlight w:val="none"/>
          <w:lang w:val="en-US" w:eastAsia="zh-CN"/>
        </w:rPr>
        <w:t>乙方应向甲方另行支付</w:t>
      </w:r>
      <w:r>
        <w:rPr>
          <w:rFonts w:hint="eastAsia" w:ascii="仿宋_GB2312" w:hAnsi="仿宋_GB2312" w:eastAsia="仿宋_GB2312" w:cs="仿宋_GB2312"/>
          <w:color w:val="auto"/>
          <w:sz w:val="32"/>
          <w:szCs w:val="32"/>
          <w:highlight w:val="none"/>
          <w:u w:val="none"/>
          <w:lang w:val="en-US" w:eastAsia="zh-CN"/>
        </w:rPr>
        <w:t>履约抵押金</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元</w:t>
      </w:r>
      <w:r>
        <w:rPr>
          <w:rFonts w:hint="eastAsia" w:ascii="仿宋_GB2312" w:hAnsi="仿宋_GB2312" w:eastAsia="仿宋_GB2312" w:cs="仿宋_GB2312"/>
          <w:color w:val="auto"/>
          <w:sz w:val="32"/>
          <w:szCs w:val="32"/>
          <w:highlight w:val="none"/>
          <w:lang w:val="en-US" w:eastAsia="zh-CN"/>
        </w:rPr>
        <w:t>。如</w:t>
      </w:r>
      <w:r>
        <w:rPr>
          <w:rFonts w:hint="eastAsia" w:ascii="仿宋_GB2312" w:hAnsi="仿宋_GB2312" w:eastAsia="仿宋_GB2312" w:cs="仿宋_GB2312"/>
          <w:color w:val="auto"/>
          <w:sz w:val="32"/>
          <w:szCs w:val="32"/>
          <w:highlight w:val="none"/>
        </w:rPr>
        <w:t>乙方</w:t>
      </w:r>
      <w:r>
        <w:rPr>
          <w:rFonts w:hint="eastAsia" w:ascii="仿宋_GB2312" w:hAnsi="仿宋_GB2312" w:eastAsia="仿宋_GB2312" w:cs="仿宋_GB2312"/>
          <w:color w:val="auto"/>
          <w:sz w:val="32"/>
          <w:szCs w:val="32"/>
          <w:highlight w:val="none"/>
          <w:lang w:val="en-US" w:eastAsia="zh-CN"/>
        </w:rPr>
        <w:t>已缴纳竞买保证金，则招商保证金自动转为履约抵押金，不足部分乙方在本合同签署之日起3个工作日内补齐</w:t>
      </w:r>
      <w:r>
        <w:rPr>
          <w:rFonts w:hint="eastAsia" w:ascii="仿宋_GB2312" w:hAnsi="仿宋_GB2312" w:eastAsia="仿宋_GB2312" w:cs="仿宋_GB2312"/>
          <w:color w:val="auto"/>
          <w:sz w:val="32"/>
          <w:szCs w:val="32"/>
          <w:highlight w:val="none"/>
        </w:rPr>
        <w:t>。合同终止且经甲方确认乙方已将工商注册登记地址从该房屋迁出及妥善履行本合同约定的全部义务后30日</w:t>
      </w:r>
      <w:r>
        <w:rPr>
          <w:rFonts w:hint="eastAsia" w:ascii="仿宋_GB2312" w:hAnsi="仿宋_GB2312" w:eastAsia="仿宋_GB2312" w:cs="仿宋_GB2312"/>
          <w:color w:val="auto"/>
          <w:sz w:val="32"/>
          <w:szCs w:val="32"/>
          <w:highlight w:val="none"/>
          <w:lang w:val="en-US" w:eastAsia="zh-CN"/>
        </w:rPr>
        <w:t>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color w:val="auto"/>
          <w:sz w:val="32"/>
          <w:szCs w:val="32"/>
          <w:highlight w:val="none"/>
        </w:rPr>
        <w:t>无息退还。</w:t>
      </w:r>
    </w:p>
    <w:p w14:paraId="02E86CC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6.1.1  乙方</w:t>
      </w:r>
      <w:r>
        <w:rPr>
          <w:rFonts w:hint="default" w:ascii="仿宋_GB2312" w:hAnsi="仿宋_GB2312" w:eastAsia="仿宋_GB2312" w:cs="仿宋_GB2312"/>
          <w:b w:val="0"/>
          <w:bCs w:val="0"/>
          <w:color w:val="auto"/>
          <w:sz w:val="32"/>
          <w:szCs w:val="32"/>
          <w:highlight w:val="none"/>
          <w:lang w:val="en-US" w:eastAsia="zh-CN"/>
        </w:rPr>
        <w:t>向</w:t>
      </w:r>
      <w:r>
        <w:rPr>
          <w:rFonts w:hint="eastAsia" w:ascii="仿宋_GB2312" w:hAnsi="仿宋_GB2312" w:eastAsia="仿宋_GB2312" w:cs="仿宋_GB2312"/>
          <w:b w:val="0"/>
          <w:bCs w:val="0"/>
          <w:color w:val="auto"/>
          <w:sz w:val="32"/>
          <w:szCs w:val="32"/>
          <w:highlight w:val="none"/>
          <w:lang w:val="en-US" w:eastAsia="zh-CN"/>
        </w:rPr>
        <w:t>甲方缴纳</w:t>
      </w:r>
      <w:r>
        <w:rPr>
          <w:rFonts w:hint="default" w:ascii="仿宋_GB2312" w:hAnsi="仿宋_GB2312" w:eastAsia="仿宋_GB2312" w:cs="仿宋_GB2312"/>
          <w:b w:val="0"/>
          <w:bCs w:val="0"/>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b w:val="0"/>
          <w:bCs w:val="0"/>
          <w:color w:val="auto"/>
          <w:sz w:val="32"/>
          <w:szCs w:val="32"/>
          <w:highlight w:val="none"/>
          <w:lang w:val="en-US" w:eastAsia="zh-CN"/>
        </w:rPr>
        <w:t>在合同期满后，自动转为下一周期</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b w:val="0"/>
          <w:bCs w:val="0"/>
          <w:color w:val="auto"/>
          <w:sz w:val="32"/>
          <w:szCs w:val="32"/>
          <w:highlight w:val="none"/>
          <w:lang w:val="en-US" w:eastAsia="zh-CN"/>
        </w:rPr>
        <w:t>；如未满</w:t>
      </w:r>
      <w:r>
        <w:rPr>
          <w:rFonts w:hint="default" w:ascii="仿宋_GB2312" w:hAnsi="仿宋_GB2312" w:eastAsia="仿宋_GB2312" w:cs="仿宋_GB2312"/>
          <w:b w:val="0"/>
          <w:bCs w:val="0"/>
          <w:color w:val="auto"/>
          <w:sz w:val="32"/>
          <w:szCs w:val="32"/>
          <w:highlight w:val="none"/>
          <w:lang w:val="en-US" w:eastAsia="zh-CN"/>
        </w:rPr>
        <w:t>合同期，</w:t>
      </w:r>
      <w:r>
        <w:rPr>
          <w:rFonts w:hint="eastAsia" w:ascii="仿宋_GB2312" w:hAnsi="仿宋_GB2312" w:eastAsia="仿宋_GB2312" w:cs="仿宋_GB2312"/>
          <w:b w:val="0"/>
          <w:bCs w:val="0"/>
          <w:color w:val="auto"/>
          <w:sz w:val="32"/>
          <w:szCs w:val="32"/>
          <w:highlight w:val="none"/>
          <w:lang w:val="en-US" w:eastAsia="zh-CN"/>
        </w:rPr>
        <w:t>乙方放弃承租，甲方有权扣除</w:t>
      </w:r>
      <w:r>
        <w:rPr>
          <w:rFonts w:hint="default" w:ascii="仿宋_GB2312" w:hAnsi="仿宋_GB2312" w:eastAsia="仿宋_GB2312" w:cs="仿宋_GB2312"/>
          <w:b w:val="0"/>
          <w:bCs w:val="0"/>
          <w:color w:val="auto"/>
          <w:sz w:val="32"/>
          <w:szCs w:val="32"/>
          <w:highlight w:val="none"/>
          <w:lang w:val="en-US" w:eastAsia="zh-CN"/>
        </w:rPr>
        <w:t>乙方</w:t>
      </w:r>
      <w:r>
        <w:rPr>
          <w:rFonts w:hint="eastAsia" w:ascii="仿宋_GB2312" w:hAnsi="仿宋_GB2312" w:eastAsia="仿宋_GB2312" w:cs="仿宋_GB2312"/>
          <w:b w:val="0"/>
          <w:bCs w:val="0"/>
          <w:color w:val="auto"/>
          <w:sz w:val="32"/>
          <w:szCs w:val="32"/>
          <w:highlight w:val="none"/>
          <w:lang w:val="en-US" w:eastAsia="zh-CN"/>
        </w:rPr>
        <w:t>全部履约抵押金，甲方有权</w:t>
      </w:r>
      <w:r>
        <w:rPr>
          <w:rFonts w:hint="eastAsia" w:ascii="仿宋_GB2312" w:hAnsi="仿宋_GB2312" w:eastAsia="仿宋_GB2312" w:cs="仿宋_GB2312"/>
          <w:color w:val="auto"/>
          <w:sz w:val="32"/>
          <w:szCs w:val="32"/>
          <w:highlight w:val="none"/>
        </w:rPr>
        <w:t>将该房屋另行出租。</w:t>
      </w:r>
    </w:p>
    <w:p w14:paraId="1F543EDD">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6.1.2  </w:t>
      </w:r>
      <w:r>
        <w:rPr>
          <w:rFonts w:hint="default" w:ascii="仿宋_GB2312" w:hAnsi="仿宋_GB2312" w:eastAsia="仿宋_GB2312" w:cs="仿宋_GB2312"/>
          <w:b w:val="0"/>
          <w:bCs w:val="0"/>
          <w:color w:val="auto"/>
          <w:sz w:val="32"/>
          <w:szCs w:val="32"/>
          <w:highlight w:val="none"/>
          <w:lang w:val="en-US" w:eastAsia="zh-CN"/>
        </w:rPr>
        <w:t>合同签订后3日内，</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需上交合同约定期限内合作经营款</w:t>
      </w:r>
      <w:r>
        <w:rPr>
          <w:rFonts w:hint="eastAsia" w:ascii="仿宋_GB2312" w:hAnsi="仿宋_GB2312" w:eastAsia="仿宋_GB2312" w:cs="仿宋_GB2312"/>
          <w:b w:val="0"/>
          <w:bCs w:val="0"/>
          <w:color w:val="auto"/>
          <w:sz w:val="32"/>
          <w:szCs w:val="32"/>
          <w:highlight w:val="none"/>
          <w:lang w:val="en-US" w:eastAsia="zh-CN"/>
        </w:rPr>
        <w:t>及</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b w:val="0"/>
          <w:bCs w:val="0"/>
          <w:color w:val="auto"/>
          <w:sz w:val="32"/>
          <w:szCs w:val="32"/>
          <w:highlight w:val="none"/>
          <w:lang w:val="en-US" w:eastAsia="zh-CN"/>
        </w:rPr>
        <w:t>；已上交甲方的合作经营款及</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b w:val="0"/>
          <w:bCs w:val="0"/>
          <w:color w:val="auto"/>
          <w:sz w:val="32"/>
          <w:szCs w:val="32"/>
          <w:highlight w:val="none"/>
          <w:lang w:val="en-US" w:eastAsia="zh-CN"/>
        </w:rPr>
        <w:t>，因乙方违约而造成的合同终止，甲方不予返还。</w:t>
      </w:r>
    </w:p>
    <w:p w14:paraId="0B1C1B62">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6.2  甲方或物业服务公司有权从履约抵押金相应扣除乙方欠付的租金或物业服务费及乙方违约金、赔偿金，不足部分乙方应在7日内补足保证金。</w:t>
      </w:r>
    </w:p>
    <w:p w14:paraId="6B01C7C2">
      <w:pPr>
        <w:keepNext w:val="0"/>
        <w:keepLines w:val="0"/>
        <w:pageBreakBefore w:val="0"/>
        <w:widowControl/>
        <w:tabs>
          <w:tab w:val="left" w:pos="1155"/>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6.3  如因乙方违反本合同约定导致甲方扣除乙方部分或全部保证金的，因甲方扣除保证金而增加的税费成本由乙方承担。</w:t>
      </w:r>
    </w:p>
    <w:p w14:paraId="349D9CC3">
      <w:pPr>
        <w:keepNext w:val="0"/>
        <w:keepLines w:val="0"/>
        <w:pageBreakBefore w:val="0"/>
        <w:widowControl/>
        <w:tabs>
          <w:tab w:val="left" w:pos="1155"/>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6.4  </w:t>
      </w:r>
      <w:r>
        <w:rPr>
          <w:rFonts w:hint="eastAsia" w:ascii="仿宋_GB2312" w:hAnsi="仿宋_GB2312" w:eastAsia="仿宋_GB2312" w:cs="仿宋_GB2312"/>
          <w:color w:val="auto"/>
          <w:sz w:val="32"/>
          <w:szCs w:val="32"/>
          <w:highlight w:val="none"/>
        </w:rPr>
        <w:t>若乙方出现不通知甲方提前自行退租、恶意闭店且发律师函无回复、违法经营、破坏</w:t>
      </w:r>
      <w:r>
        <w:rPr>
          <w:rFonts w:hint="eastAsia" w:ascii="仿宋_GB2312" w:hAnsi="仿宋_GB2312" w:eastAsia="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rPr>
        <w:t>建筑结构危及安全等构成事实的，甲方有权扣除乙方全额保证金，乙方不可追偿，后果由乙方承担，</w:t>
      </w:r>
      <w:r>
        <w:rPr>
          <w:rFonts w:hint="eastAsia" w:ascii="仿宋_GB2312" w:hAnsi="仿宋_GB2312" w:eastAsia="仿宋_GB2312" w:cs="仿宋_GB2312"/>
          <w:color w:val="auto"/>
          <w:sz w:val="32"/>
          <w:szCs w:val="32"/>
          <w:highlight w:val="none"/>
          <w:lang w:val="en-US" w:eastAsia="zh-CN"/>
        </w:rPr>
        <w:t>并</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给</w:t>
      </w:r>
      <w:r>
        <w:rPr>
          <w:rFonts w:hint="eastAsia" w:ascii="仿宋_GB2312" w:hAnsi="仿宋_GB2312" w:eastAsia="仿宋_GB2312" w:cs="仿宋_GB2312"/>
          <w:color w:val="auto"/>
          <w:sz w:val="32"/>
          <w:szCs w:val="32"/>
          <w:highlight w:val="none"/>
        </w:rPr>
        <w:t>甲方造成损失的进行全额赔偿。</w:t>
      </w:r>
    </w:p>
    <w:p w14:paraId="36D4C9F0">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第七条  进场及房屋交付</w:t>
      </w:r>
    </w:p>
    <w:p w14:paraId="249BB582">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7.1  本合同项下的进场日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装修期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日（甲方有权对该日期进行一次调整）。届时甲方按进场日现状向乙方交付该房屋。乙方应当自行前往甲方或物业服务公司办理房屋交接手续，并按照附件2的格式签署《房屋交接确认书》。</w:t>
      </w:r>
    </w:p>
    <w:p w14:paraId="2325735B">
      <w:pPr>
        <w:keepNext w:val="0"/>
        <w:keepLines w:val="0"/>
        <w:pageBreakBefore w:val="0"/>
        <w:kinsoku/>
        <w:wordWrap/>
        <w:overflowPunct/>
        <w:topLinePunct w:val="0"/>
        <w:bidi w:val="0"/>
        <w:adjustRightInd/>
        <w:snapToGrid/>
        <w:spacing w:line="460" w:lineRule="exact"/>
        <w:ind w:firstLine="42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7.2  如乙方未在本合同约定进场日接收该房屋，或拒绝、拖延签署《房屋交接确认书》，则本合同项下进场日按第7.1项所述日期确定。</w:t>
      </w:r>
    </w:p>
    <w:p w14:paraId="19B399DE">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7.3 乙方已查验并充分认可该房屋状况，同意不因项目共用设施设备通过该房屋或有共用通道穿越该房屋（如涉及）等原因向甲方、物业服务公司主张减免租金或物业服务费。如乙方进场后甲方拟在该房屋内增设共用设施设备或通道，应与乙方协商一致后实施。</w:t>
      </w:r>
    </w:p>
    <w:p w14:paraId="503EE937">
      <w:pPr>
        <w:keepNext w:val="0"/>
        <w:keepLines w:val="0"/>
        <w:pageBreakBefore w:val="0"/>
        <w:tabs>
          <w:tab w:val="left" w:pos="1155"/>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7.4 乙方进场及房屋交付确认后，因乙方原因造成计量仪表损坏的，应由乙方承担赔偿责任并</w:t>
      </w:r>
      <w:r>
        <w:rPr>
          <w:rFonts w:hint="eastAsia" w:ascii="仿宋_GB2312" w:hAnsi="仿宋_GB2312" w:eastAsia="仿宋_GB2312" w:cs="仿宋_GB2312"/>
          <w:color w:val="auto"/>
          <w:sz w:val="32"/>
          <w:szCs w:val="32"/>
          <w:highlight w:val="none"/>
          <w:lang w:eastAsia="zh-CN"/>
        </w:rPr>
        <w:t>补缴</w:t>
      </w:r>
      <w:r>
        <w:rPr>
          <w:rFonts w:hint="eastAsia" w:ascii="仿宋_GB2312" w:hAnsi="仿宋_GB2312" w:eastAsia="仿宋_GB2312" w:cs="仿宋_GB2312"/>
          <w:color w:val="auto"/>
          <w:sz w:val="32"/>
          <w:szCs w:val="32"/>
          <w:highlight w:val="none"/>
        </w:rPr>
        <w:t>欠缴的相关费用。</w:t>
      </w:r>
    </w:p>
    <w:p w14:paraId="7EF165A5">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第八条  乙方对该房屋的装饰装修</w:t>
      </w:r>
    </w:p>
    <w:p w14:paraId="714F2D74">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8.1  乙方入场装修前，应取得甲方书面同意，并将乙方装修方案（图纸等材料）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见附件四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向甲方及物业公司报备，装修方案经甲方及物业公司书面确认并完成相关手续办理后，乙方才可进行施工。如乙方擅自开展装修</w:t>
      </w:r>
      <w:r>
        <w:rPr>
          <w:rFonts w:hint="eastAsia" w:ascii="仿宋_GB2312" w:hAnsi="仿宋_GB2312" w:eastAsia="仿宋_GB2312" w:cs="仿宋_GB2312"/>
          <w:color w:val="auto"/>
          <w:sz w:val="32"/>
          <w:szCs w:val="32"/>
          <w:highlight w:val="none"/>
          <w:lang w:val="en-US" w:eastAsia="zh-CN"/>
        </w:rPr>
        <w:t>或擅自更改维修方案</w:t>
      </w:r>
      <w:r>
        <w:rPr>
          <w:rFonts w:hint="eastAsia" w:ascii="仿宋_GB2312" w:hAnsi="仿宋_GB2312" w:eastAsia="仿宋_GB2312" w:cs="仿宋_GB2312"/>
          <w:color w:val="auto"/>
          <w:sz w:val="32"/>
          <w:szCs w:val="32"/>
          <w:highlight w:val="none"/>
        </w:rPr>
        <w:t>，甲方有权解除本合同，要求乙方停止施工并将该房屋恢复至施工前状态，由此造</w:t>
      </w:r>
      <w:r>
        <w:rPr>
          <w:rFonts w:hint="eastAsia" w:ascii="仿宋_GB2312" w:hAnsi="仿宋_GB2312" w:eastAsia="仿宋_GB2312" w:cs="仿宋_GB2312"/>
          <w:color w:val="auto"/>
          <w:sz w:val="32"/>
          <w:szCs w:val="32"/>
          <w:highlight w:val="none"/>
          <w:lang w:eastAsia="zh-CN"/>
        </w:rPr>
        <w:t>成的</w:t>
      </w:r>
      <w:r>
        <w:rPr>
          <w:rFonts w:hint="eastAsia" w:ascii="仿宋_GB2312" w:hAnsi="仿宋_GB2312" w:eastAsia="仿宋_GB2312" w:cs="仿宋_GB2312"/>
          <w:color w:val="auto"/>
          <w:sz w:val="32"/>
          <w:szCs w:val="32"/>
          <w:highlight w:val="none"/>
        </w:rPr>
        <w:t>损失由乙方承担。</w:t>
      </w:r>
      <w:r>
        <w:rPr>
          <w:rFonts w:hint="eastAsia" w:ascii="仿宋_GB2312" w:hAnsi="仿宋_GB2312" w:eastAsia="仿宋_GB2312" w:cs="仿宋_GB2312"/>
          <w:color w:val="auto"/>
          <w:sz w:val="32"/>
          <w:szCs w:val="32"/>
          <w:highlight w:val="none"/>
          <w:lang w:val="en-US" w:eastAsia="zh-CN"/>
        </w:rPr>
        <w:t>同时</w:t>
      </w:r>
      <w:r>
        <w:rPr>
          <w:rFonts w:hint="eastAsia" w:ascii="仿宋_GB2312" w:hAnsi="仿宋_GB2312" w:eastAsia="仿宋_GB2312" w:cs="仿宋_GB2312"/>
          <w:color w:val="auto"/>
          <w:sz w:val="32"/>
          <w:szCs w:val="32"/>
          <w:highlight w:val="none"/>
        </w:rPr>
        <w:t>乙方应承担导致本合同提前终止的违约责任。若甲方同意继续履行合同，则乙方应当支付甲方</w:t>
      </w:r>
      <w:r>
        <w:rPr>
          <w:rFonts w:hint="eastAsia" w:ascii="仿宋_GB2312" w:hAnsi="仿宋_GB2312" w:eastAsia="仿宋_GB2312" w:cs="仿宋_GB2312"/>
          <w:color w:val="auto"/>
          <w:sz w:val="32"/>
          <w:szCs w:val="32"/>
          <w:highlight w:val="none"/>
          <w:lang w:val="en-US" w:eastAsia="zh-CN"/>
        </w:rPr>
        <w:t>首年租金的</w:t>
      </w:r>
      <w:r>
        <w:rPr>
          <w:rFonts w:hint="eastAsia" w:ascii="仿宋_GB2312" w:hAnsi="仿宋_GB2312" w:eastAsia="仿宋_GB2312" w:cs="仿宋_GB2312"/>
          <w:color w:val="auto"/>
          <w:sz w:val="32"/>
          <w:szCs w:val="32"/>
          <w:highlight w:val="none"/>
          <w:u w:val="single"/>
          <w:lang w:val="en-US" w:eastAsia="zh-CN"/>
        </w:rPr>
        <w:t>2%</w:t>
      </w:r>
      <w:r>
        <w:rPr>
          <w:rFonts w:hint="eastAsia" w:ascii="仿宋_GB2312" w:hAnsi="仿宋_GB2312" w:eastAsia="仿宋_GB2312" w:cs="仿宋_GB2312"/>
          <w:color w:val="auto"/>
          <w:sz w:val="32"/>
          <w:szCs w:val="32"/>
          <w:highlight w:val="none"/>
          <w:lang w:val="en-US" w:eastAsia="zh-CN"/>
        </w:rPr>
        <w:t>的履约抵押金作为</w:t>
      </w:r>
      <w:r>
        <w:rPr>
          <w:rFonts w:hint="eastAsia" w:ascii="仿宋_GB2312" w:hAnsi="仿宋_GB2312" w:eastAsia="仿宋_GB2312" w:cs="仿宋_GB2312"/>
          <w:color w:val="auto"/>
          <w:sz w:val="32"/>
          <w:szCs w:val="32"/>
          <w:highlight w:val="none"/>
        </w:rPr>
        <w:t>违约金。</w:t>
      </w:r>
    </w:p>
    <w:p w14:paraId="02AE90CB">
      <w:pPr>
        <w:pStyle w:val="17"/>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8.2  乙方必须获得当地消防部门的装修审核意见后方可办理进场装修手续，若因乙方未取得审核意见收到消防部门的处罚，或导致甲方遭受处罚，由此造成的全部责任由乙方承担，若在此期间甲方缴纳相关罚款，可向乙方追偿。</w:t>
      </w:r>
    </w:p>
    <w:p w14:paraId="154AA979">
      <w:pPr>
        <w:pStyle w:val="17"/>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8.3  乙方在该房屋装修期间，需动火作业时，必须事先取得物业服务公司的书面许可，但物业服务的许可并不免除乙方应承担的消防安全责任。</w:t>
      </w:r>
    </w:p>
    <w:p w14:paraId="2F6A7884">
      <w:pPr>
        <w:pStyle w:val="17"/>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8.4 </w:t>
      </w:r>
      <w:r>
        <w:rPr>
          <w:rFonts w:hint="eastAsia" w:ascii="仿宋_GB2312" w:hAnsi="仿宋_GB2312" w:eastAsia="仿宋_GB2312" w:cs="仿宋_GB2312"/>
          <w:color w:val="auto"/>
          <w:sz w:val="32"/>
          <w:szCs w:val="32"/>
          <w:highlight w:val="none"/>
        </w:rPr>
        <w:t>乙方在该房屋装修期间</w:t>
      </w:r>
      <w:r>
        <w:rPr>
          <w:rFonts w:hint="eastAsia" w:ascii="仿宋_GB2312" w:hAnsi="仿宋_GB2312" w:eastAsia="仿宋_GB2312" w:cs="仿宋_GB2312"/>
          <w:color w:val="auto"/>
          <w:sz w:val="32"/>
          <w:szCs w:val="32"/>
          <w:highlight w:val="none"/>
          <w:lang w:val="en-US" w:eastAsia="zh-CN"/>
        </w:rPr>
        <w:t>，对装修人员的人身损害及财产损失负责；乙方及装修人员</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造成第三人人身损害及财产损失的，由乙方承担全部责任。</w:t>
      </w:r>
    </w:p>
    <w:p w14:paraId="089BBF9B">
      <w:pPr>
        <w:pStyle w:val="17"/>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8.5 若因政府政策及相关要求需对乙方</w:t>
      </w:r>
      <w:r>
        <w:rPr>
          <w:rFonts w:hint="eastAsia" w:ascii="仿宋_GB2312" w:hAnsi="仿宋_GB2312" w:eastAsia="仿宋_GB2312" w:cs="仿宋_GB2312"/>
          <w:color w:val="auto"/>
          <w:sz w:val="32"/>
          <w:szCs w:val="32"/>
          <w:highlight w:val="none"/>
        </w:rPr>
        <w:t>装饰</w:t>
      </w:r>
      <w:r>
        <w:rPr>
          <w:rFonts w:hint="eastAsia" w:ascii="仿宋_GB2312" w:hAnsi="仿宋_GB2312" w:eastAsia="仿宋_GB2312" w:cs="仿宋_GB2312"/>
          <w:color w:val="auto"/>
          <w:sz w:val="32"/>
          <w:szCs w:val="32"/>
          <w:highlight w:val="none"/>
          <w:lang w:val="en-US" w:eastAsia="zh-CN"/>
        </w:rPr>
        <w:t>装修进行整改的，乙方须配合整改并承担相关责任。</w:t>
      </w:r>
    </w:p>
    <w:p w14:paraId="10881265">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 xml:space="preserve">  非因甲方原因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乙方未能在装修期内完成上述装饰装修工程导致该房屋未能在装修期届满后开业经营的，本合同项下之装修期不予延长。</w:t>
      </w:r>
    </w:p>
    <w:p w14:paraId="78164CFC">
      <w:pPr>
        <w:keepNext w:val="0"/>
        <w:keepLines w:val="0"/>
        <w:pageBreakBefore w:val="0"/>
        <w:numPr>
          <w:ilvl w:val="255"/>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 xml:space="preserve">  乙方违反本合同约定的各项要求对该房屋进行装饰装修的（包括但不限于未经甲方、物业服务提供方批准，乙方擅自变更装修设计方案的情形），则甲方或物业服务提供方有权通知乙方改正。自甲方或物业服务提供方发出通知之日起超过5日，乙方仍未改正的，则甲方或物业服务提供方有权对该房屋停止水、电等能源供应或直接采取强制措施予以纠正。超过15天未改正的，甲方有权解除合同，因上述原因发生的一切损失和费用均由乙方承担，本合同项下装修期不予延长，乙方仍应当按本合同约定承担租金等费用。</w:t>
      </w:r>
    </w:p>
    <w:p w14:paraId="634C2E1B">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w:t>
      </w:r>
      <w:r>
        <w:rPr>
          <w:rFonts w:hint="eastAsia" w:ascii="仿宋_GB2312" w:hAnsi="仿宋_GB2312" w:eastAsia="仿宋_GB2312" w:cs="仿宋_GB2312"/>
          <w:b/>
          <w:bCs/>
          <w:color w:val="auto"/>
          <w:sz w:val="32"/>
          <w:szCs w:val="32"/>
          <w:highlight w:val="none"/>
          <w:lang w:val="en-US" w:eastAsia="zh-CN"/>
        </w:rPr>
        <w:t>九</w:t>
      </w:r>
      <w:r>
        <w:rPr>
          <w:rFonts w:hint="eastAsia" w:ascii="仿宋_GB2312" w:hAnsi="仿宋_GB2312" w:eastAsia="仿宋_GB2312" w:cs="仿宋_GB2312"/>
          <w:b/>
          <w:bCs/>
          <w:color w:val="auto"/>
          <w:sz w:val="32"/>
          <w:szCs w:val="32"/>
          <w:highlight w:val="none"/>
        </w:rPr>
        <w:t>条  物业服务费</w:t>
      </w:r>
    </w:p>
    <w:p w14:paraId="7FA1D0C4">
      <w:pPr>
        <w:keepNext w:val="0"/>
        <w:keepLines w:val="0"/>
        <w:pageBreakBefore w:val="0"/>
        <w:tabs>
          <w:tab w:val="left" w:pos="0"/>
        </w:tabs>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我院临街出租商铺均</w:t>
      </w:r>
      <w:r>
        <w:rPr>
          <w:rFonts w:hint="eastAsia" w:ascii="仿宋_GB2312" w:hAnsi="仿宋_GB2312" w:eastAsia="仿宋_GB2312" w:cs="仿宋_GB2312"/>
          <w:color w:val="auto"/>
          <w:sz w:val="32"/>
          <w:szCs w:val="32"/>
          <w:highlight w:val="none"/>
          <w:lang w:val="en-US" w:eastAsia="zh-CN"/>
        </w:rPr>
        <w:t>暂</w:t>
      </w:r>
      <w:r>
        <w:rPr>
          <w:rFonts w:hint="eastAsia" w:ascii="仿宋_GB2312" w:hAnsi="仿宋_GB2312" w:eastAsia="仿宋_GB2312" w:cs="仿宋_GB2312"/>
          <w:color w:val="auto"/>
          <w:sz w:val="32"/>
          <w:szCs w:val="32"/>
          <w:highlight w:val="none"/>
        </w:rPr>
        <w:t>未收取物业管理费，后续根据医院整体招商规划、商铺运营管理实际情况，统一制定物业费收取标准及执行时间。</w:t>
      </w:r>
    </w:p>
    <w:p w14:paraId="5B69A643">
      <w:pPr>
        <w:keepNext w:val="0"/>
        <w:keepLines w:val="0"/>
        <w:pageBreakBefore w:val="0"/>
        <w:tabs>
          <w:tab w:val="left" w:pos="0"/>
        </w:tabs>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水费收取标准7.25元/吨，电费收取标准1元/度，次月5-10号前完成上月费用确认，并确认后5个工作内前完成费用收取。</w:t>
      </w:r>
    </w:p>
    <w:p w14:paraId="726F593A">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第十条  公用事业费及其他相关费用的承担</w:t>
      </w:r>
    </w:p>
    <w:p w14:paraId="74B628E1">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.1  自进场日起，乙方应当承担并支付该房屋所发生的水、电、燃气（如有）、采暖等公用事业费。</w:t>
      </w:r>
    </w:p>
    <w:p w14:paraId="674CEAEB">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.2  因签订和履行本合同而应当交纳的税费，根据法律规定由双方各自依法承担，本合同另有约定的除外。</w:t>
      </w:r>
    </w:p>
    <w:p w14:paraId="6F6EA1E1">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一</w:t>
      </w:r>
      <w:r>
        <w:rPr>
          <w:rFonts w:hint="eastAsia" w:ascii="仿宋_GB2312" w:hAnsi="仿宋_GB2312" w:eastAsia="仿宋_GB2312" w:cs="仿宋_GB2312"/>
          <w:b/>
          <w:bCs/>
          <w:color w:val="auto"/>
          <w:sz w:val="32"/>
          <w:szCs w:val="32"/>
          <w:highlight w:val="none"/>
        </w:rPr>
        <w:t>条  物业管理</w:t>
      </w:r>
    </w:p>
    <w:p w14:paraId="5C6D86C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.1  乙方承诺遵守项目物业管理公约或临时管理规约，并遵守甲方和物业服务提供方制定的关于该项目各方面管理的一切规章制度。</w:t>
      </w:r>
    </w:p>
    <w:p w14:paraId="23BEC130">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.2  双方特别确认，乙方不得以物业管理服务协议项下纠纷或事件或其他任何理由拒绝向甲方交纳租金、物业服务费或公用事业费。</w:t>
      </w:r>
    </w:p>
    <w:p w14:paraId="7261331E">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11.3 项目的停车位（包括机动车位和非机动车位）的使用及收费标准，应当执行物业服务公司制定的相关规定。</w:t>
      </w:r>
    </w:p>
    <w:p w14:paraId="6CB4476F">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二</w:t>
      </w:r>
      <w:r>
        <w:rPr>
          <w:rFonts w:hint="eastAsia" w:ascii="仿宋_GB2312" w:hAnsi="仿宋_GB2312" w:eastAsia="仿宋_GB2312" w:cs="仿宋_GB2312"/>
          <w:b/>
          <w:bCs/>
          <w:color w:val="auto"/>
          <w:sz w:val="32"/>
          <w:szCs w:val="32"/>
          <w:highlight w:val="none"/>
        </w:rPr>
        <w:t>条  招牌、广告及品牌推广</w:t>
      </w:r>
    </w:p>
    <w:p w14:paraId="2282EE97">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.1  关于招牌和广告牌设置事宜，乙方应当严格遵守甲方和物业服务公司的管理规章制度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对外</w:t>
      </w:r>
      <w:r>
        <w:rPr>
          <w:rFonts w:hint="eastAsia" w:ascii="仿宋_GB2312" w:hAnsi="仿宋_GB2312" w:eastAsia="仿宋_GB2312" w:cs="仿宋_GB2312"/>
          <w:color w:val="auto"/>
          <w:sz w:val="32"/>
          <w:szCs w:val="32"/>
          <w:highlight w:val="none"/>
        </w:rPr>
        <w:t>招牌和广告牌</w:t>
      </w:r>
      <w:r>
        <w:rPr>
          <w:rFonts w:hint="eastAsia" w:ascii="仿宋_GB2312" w:hAnsi="仿宋_GB2312" w:eastAsia="仿宋_GB2312" w:cs="仿宋_GB2312"/>
          <w:color w:val="auto"/>
          <w:sz w:val="32"/>
          <w:szCs w:val="32"/>
          <w:highlight w:val="none"/>
          <w:lang w:val="en-US" w:eastAsia="zh-CN"/>
        </w:rPr>
        <w:t>需通过甲方审批后</w:t>
      </w:r>
      <w:r>
        <w:rPr>
          <w:rFonts w:hint="eastAsia" w:ascii="仿宋_GB2312" w:hAnsi="仿宋_GB2312" w:eastAsia="仿宋_GB2312" w:cs="仿宋_GB2312"/>
          <w:color w:val="auto"/>
          <w:sz w:val="32"/>
          <w:szCs w:val="32"/>
          <w:highlight w:val="none"/>
        </w:rPr>
        <w:t>设置。</w:t>
      </w:r>
    </w:p>
    <w:p w14:paraId="77DCD055">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.2  乙方可在不违反法律、行政法规或政府相关管理政策前提下在该房屋内设置招牌（包括商标、商号、标志、店招、霓虹、灯箱等）和宣传物品（包括设置电子显示屏、橱窗、</w:t>
      </w:r>
      <w:r>
        <w:rPr>
          <w:rFonts w:hint="eastAsia" w:ascii="仿宋_GB2312" w:hAnsi="仿宋_GB2312" w:eastAsia="仿宋_GB2312" w:cs="仿宋_GB2312"/>
          <w:color w:val="auto"/>
          <w:sz w:val="32"/>
          <w:szCs w:val="32"/>
          <w:highlight w:val="none"/>
          <w:lang w:eastAsia="zh-CN"/>
        </w:rPr>
        <w:t>横</w:t>
      </w:r>
      <w:r>
        <w:rPr>
          <w:rFonts w:hint="eastAsia" w:ascii="仿宋_GB2312" w:hAnsi="仿宋_GB2312" w:eastAsia="仿宋_GB2312" w:cs="仿宋_GB2312"/>
          <w:color w:val="auto"/>
          <w:sz w:val="32"/>
          <w:szCs w:val="32"/>
          <w:highlight w:val="none"/>
        </w:rPr>
        <w:t>幅、张贴物、展板等）</w:t>
      </w:r>
      <w:r>
        <w:rPr>
          <w:rFonts w:hint="eastAsia" w:ascii="仿宋_GB2312" w:hAnsi="仿宋_GB2312" w:eastAsia="仿宋_GB2312" w:cs="仿宋_GB2312"/>
          <w:color w:val="auto"/>
          <w:sz w:val="32"/>
          <w:szCs w:val="32"/>
          <w:highlight w:val="none"/>
          <w:lang w:eastAsia="zh-CN"/>
        </w:rPr>
        <w:t>。</w:t>
      </w:r>
    </w:p>
    <w:p w14:paraId="58C76987">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val="en-US" w:eastAsia="zh-CN"/>
        </w:rPr>
        <w:t>三</w:t>
      </w:r>
      <w:r>
        <w:rPr>
          <w:rFonts w:hint="eastAsia" w:ascii="仿宋_GB2312" w:hAnsi="仿宋_GB2312" w:eastAsia="仿宋_GB2312" w:cs="仿宋_GB2312"/>
          <w:b/>
          <w:bCs/>
          <w:color w:val="auto"/>
          <w:sz w:val="32"/>
          <w:szCs w:val="32"/>
          <w:highlight w:val="none"/>
        </w:rPr>
        <w:t>条  紧急状态和房屋维修</w:t>
      </w:r>
    </w:p>
    <w:p w14:paraId="485EE8A7">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  紧急状态下安排</w:t>
      </w:r>
    </w:p>
    <w:p w14:paraId="1D40181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.1.1  发生紧急状态时，甲方或物业服务公司可以在不通知乙方的情况下，自行决定中断对该房屋的水、电、燃气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、热力等供应或中止空调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、电梯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等设施设备的运行；但事后应当通过适当途径尽快通知乙方，并作出说明。</w:t>
      </w:r>
    </w:p>
    <w:p w14:paraId="65160D8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.1.2  因发生紧急状态，或者公用事业部门或政府部门要求、命令，导致该房屋的水、电、燃气（如有）、热力等供应中断或空调（如有）、电梯（如有）等设施设备中止运行的，甲方、物业服务公司不承担任何责任。</w:t>
      </w:r>
    </w:p>
    <w:p w14:paraId="7CE4765F">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.1.3  因处置紧急状态而造成该房屋及相关设施设备受到损害或其他财产损失的（无论是因为甲方、物业服务公司或相关政府部门工作人员的行为），其中凡属于乙方的货物、设备等，均由乙方自行承担。</w:t>
      </w:r>
    </w:p>
    <w:p w14:paraId="5F862D6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.2  该房屋因工程质量原因发生损坏的，甲方应予以维修。甲方对该房屋的维修责任范围只限于该房屋的结构部分、交接时甲方提供的设备设施及</w:t>
      </w:r>
      <w:r>
        <w:rPr>
          <w:rFonts w:hint="eastAsia" w:ascii="仿宋_GB2312" w:hAnsi="仿宋_GB2312" w:eastAsia="仿宋_GB2312" w:cs="仿宋_GB2312"/>
          <w:color w:val="auto"/>
          <w:sz w:val="32"/>
          <w:szCs w:val="32"/>
          <w:highlight w:val="none"/>
          <w:lang w:val="en-US" w:eastAsia="zh-CN"/>
        </w:rPr>
        <w:t>本</w:t>
      </w:r>
      <w:r>
        <w:rPr>
          <w:rFonts w:hint="eastAsia" w:ascii="仿宋_GB2312" w:hAnsi="仿宋_GB2312" w:eastAsia="仿宋_GB2312" w:cs="仿宋_GB2312"/>
          <w:color w:val="auto"/>
          <w:sz w:val="32"/>
          <w:szCs w:val="32"/>
          <w:highlight w:val="none"/>
        </w:rPr>
        <w:t>项目的公共部位/区域乙方改建、装修或增设的设施设备由乙方自行维修。</w:t>
      </w:r>
    </w:p>
    <w:p w14:paraId="449C98B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.3  乙方原因导致该房屋的水、电、燃气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、热力等供应中断或空调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、电梯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如有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等设施设备停止运行的，乙方应当承担修复所需的一切费用，并赔偿因此给甲方及第三方所造成的一切损失。</w:t>
      </w:r>
    </w:p>
    <w:p w14:paraId="570201A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.4  因乙方对该房屋进行装饰装修或因乙方的其他行为，导致甲方或物业服务公司无法对相关的管道、线路和设备进行检修、调试或及时采取补救措施的，则因此发生损失及因此扩大的损失，应当由乙方承担损失及可能发生的损害赔偿责任，甲方、物业服务公司不负赔偿责任。</w:t>
      </w:r>
    </w:p>
    <w:p w14:paraId="5C856D3F">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3.5</w:t>
      </w:r>
      <w:r>
        <w:rPr>
          <w:rFonts w:hint="eastAsia" w:ascii="仿宋_GB2312" w:hAnsi="仿宋_GB2312" w:eastAsia="仿宋_GB2312" w:cs="仿宋_GB2312"/>
          <w:color w:val="auto"/>
          <w:sz w:val="32"/>
          <w:szCs w:val="32"/>
          <w:highlight w:val="none"/>
        </w:rPr>
        <w:t xml:space="preserve">  对于乙方放置于该房屋内的货物、设备、材料等，乙方</w:t>
      </w:r>
      <w:r>
        <w:rPr>
          <w:rFonts w:hint="eastAsia" w:ascii="仿宋_GB2312" w:hAnsi="仿宋_GB2312" w:eastAsia="仿宋_GB2312" w:cs="仿宋_GB2312"/>
          <w:color w:val="auto"/>
          <w:sz w:val="32"/>
          <w:szCs w:val="32"/>
          <w:highlight w:val="none"/>
          <w:lang w:eastAsia="zh-CN"/>
        </w:rPr>
        <w:t>应当</w:t>
      </w:r>
      <w:r>
        <w:rPr>
          <w:rFonts w:hint="eastAsia" w:ascii="仿宋_GB2312" w:hAnsi="仿宋_GB2312" w:eastAsia="仿宋_GB2312" w:cs="仿宋_GB2312"/>
          <w:color w:val="auto"/>
          <w:sz w:val="32"/>
          <w:szCs w:val="32"/>
          <w:highlight w:val="none"/>
        </w:rPr>
        <w:t>采取充分有效的保护措施。如乙方未能按照本合同要求采取相关的保护措施，则因此而造成的乙方货物、设备、材料等的损失或因此而扩大的损失均应当由乙方自行承担。</w:t>
      </w:r>
    </w:p>
    <w:p w14:paraId="22144853">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rPr>
        <w:t>条  乙方照管责任</w:t>
      </w:r>
    </w:p>
    <w:p w14:paraId="25B59C1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.1 在租赁期限内，</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是该房屋的实际管理人，</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的人身和财产安全均由</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自行承担。</w:t>
      </w:r>
    </w:p>
    <w:p w14:paraId="6717269C">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2.该房屋内所发生的一切安全事故均由</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承担，与</w:t>
      </w:r>
      <w:r>
        <w:rPr>
          <w:rFonts w:hint="eastAsia" w:ascii="仿宋_GB2312" w:hAnsi="仿宋_GB2312" w:eastAsia="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rPr>
        <w:t>无关。包括但不限于高空抛物，水、电、气使用不当，在房屋内摔倒，给</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及同住人（或其他任何第三人）造成人身伤害，</w:t>
      </w:r>
      <w:r>
        <w:rPr>
          <w:rFonts w:hint="eastAsia" w:ascii="仿宋_GB2312" w:hAnsi="仿宋_GB2312" w:eastAsia="仿宋_GB2312" w:cs="仿宋_GB2312"/>
          <w:color w:val="auto"/>
          <w:sz w:val="32"/>
          <w:szCs w:val="32"/>
          <w:highlight w:val="none"/>
          <w:lang w:val="en-US" w:eastAsia="zh-CN"/>
        </w:rPr>
        <w:t>甲</w:t>
      </w:r>
      <w:r>
        <w:rPr>
          <w:rFonts w:hint="eastAsia" w:ascii="仿宋_GB2312" w:hAnsi="仿宋_GB2312" w:eastAsia="仿宋_GB2312" w:cs="仿宋_GB2312"/>
          <w:color w:val="auto"/>
          <w:sz w:val="32"/>
          <w:szCs w:val="32"/>
          <w:highlight w:val="none"/>
        </w:rPr>
        <w:t>方不承担任何责任。</w:t>
      </w:r>
    </w:p>
    <w:p w14:paraId="5FC0E08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如果利用此房屋从事非法活动或者拖欠房租超过15天，</w:t>
      </w:r>
      <w:r>
        <w:rPr>
          <w:rFonts w:hint="eastAsia" w:ascii="仿宋_GB2312" w:hAnsi="仿宋_GB2312" w:eastAsia="仿宋_GB2312" w:cs="仿宋_GB2312"/>
          <w:color w:val="auto"/>
          <w:sz w:val="32"/>
          <w:szCs w:val="32"/>
          <w:highlight w:val="none"/>
          <w:lang w:val="en-US" w:eastAsia="zh-CN"/>
        </w:rPr>
        <w:t>甲</w:t>
      </w:r>
      <w:r>
        <w:rPr>
          <w:rFonts w:hint="eastAsia" w:ascii="仿宋_GB2312" w:hAnsi="仿宋_GB2312" w:eastAsia="仿宋_GB2312" w:cs="仿宋_GB2312"/>
          <w:color w:val="auto"/>
          <w:sz w:val="32"/>
          <w:szCs w:val="32"/>
          <w:highlight w:val="none"/>
        </w:rPr>
        <w:t>方有权立即终止合同，不予出租。</w:t>
      </w:r>
    </w:p>
    <w:p w14:paraId="11692901">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4.4</w:t>
      </w:r>
      <w:r>
        <w:rPr>
          <w:rFonts w:hint="eastAsia" w:ascii="仿宋_GB2312" w:hAnsi="仿宋_GB2312" w:eastAsia="仿宋_GB2312" w:cs="仿宋_GB2312"/>
          <w:color w:val="auto"/>
          <w:sz w:val="32"/>
          <w:szCs w:val="32"/>
          <w:highlight w:val="none"/>
        </w:rPr>
        <w:t xml:space="preserve">  乙方保证不从事任何可能阻碍、影响相邻区域内甲方或其他业主、承租人合法权利的行为，或其他不合理干涉、扰乱甲方或其他业主、承租人正常经营的行为。</w:t>
      </w:r>
    </w:p>
    <w:p w14:paraId="3881341C">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14.5</w:t>
      </w:r>
      <w:r>
        <w:rPr>
          <w:rFonts w:hint="eastAsia" w:ascii="仿宋_GB2312" w:hAnsi="仿宋_GB2312" w:eastAsia="仿宋_GB2312" w:cs="仿宋_GB2312"/>
          <w:color w:val="auto"/>
          <w:sz w:val="32"/>
          <w:szCs w:val="32"/>
          <w:highlight w:val="none"/>
        </w:rPr>
        <w:t xml:space="preserve"> 因第三方原因导致乙方商品、货物或其他财产发生损害，或导致乙方蒙受损失的，乙方自行向第三方索赔，甲方、物业服务公司不承担赔偿或补偿责任。</w:t>
      </w:r>
    </w:p>
    <w:p w14:paraId="2A985907">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14.6</w:t>
      </w:r>
      <w:r>
        <w:rPr>
          <w:rFonts w:hint="eastAsia" w:ascii="仿宋_GB2312" w:hAnsi="仿宋_GB2312" w:eastAsia="仿宋_GB2312" w:cs="仿宋_GB2312"/>
          <w:color w:val="auto"/>
          <w:sz w:val="32"/>
          <w:szCs w:val="32"/>
          <w:highlight w:val="none"/>
        </w:rPr>
        <w:t xml:space="preserve"> 如经甲方事先同意，乙方在该房屋采取转租、承包等合作方式，引入第三方经营的，乙方对该第三方行为承担连带责任。</w:t>
      </w:r>
    </w:p>
    <w:p w14:paraId="24D6B361">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14.7</w:t>
      </w:r>
      <w:r>
        <w:rPr>
          <w:rFonts w:hint="eastAsia" w:ascii="仿宋_GB2312" w:hAnsi="仿宋_GB2312" w:eastAsia="仿宋_GB2312" w:cs="仿宋_GB2312"/>
          <w:b w:val="0"/>
          <w:bCs w:val="0"/>
          <w:color w:val="auto"/>
          <w:sz w:val="32"/>
          <w:szCs w:val="32"/>
          <w:highlight w:val="none"/>
          <w:lang w:val="en-US" w:eastAsia="zh-CN"/>
        </w:rPr>
        <w:t xml:space="preserve"> 乙方自行办理后续营业执照、食品经营许可证等相关证照。</w:t>
      </w:r>
    </w:p>
    <w:p w14:paraId="1B085462">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14</w:t>
      </w:r>
      <w:r>
        <w:rPr>
          <w:rFonts w:hint="default" w:ascii="仿宋_GB2312" w:hAnsi="仿宋_GB2312" w:eastAsia="仿宋_GB2312" w:cs="仿宋_GB2312"/>
          <w:b w:val="0"/>
          <w:bCs w:val="0"/>
          <w:color w:val="auto"/>
          <w:sz w:val="32"/>
          <w:szCs w:val="32"/>
          <w:highlight w:val="none"/>
          <w:lang w:val="en-US" w:eastAsia="zh-CN"/>
        </w:rPr>
        <w:t>.8</w:t>
      </w:r>
      <w:r>
        <w:rPr>
          <w:rFonts w:hint="eastAsia" w:ascii="仿宋_GB2312" w:hAnsi="仿宋_GB2312" w:eastAsia="仿宋_GB2312" w:cs="仿宋_GB2312"/>
          <w:b w:val="0"/>
          <w:bCs w:val="0"/>
          <w:color w:val="auto"/>
          <w:sz w:val="32"/>
          <w:szCs w:val="32"/>
          <w:highlight w:val="none"/>
          <w:lang w:val="en-US" w:eastAsia="zh-CN"/>
        </w:rPr>
        <w:t xml:space="preserve"> 乙方</w:t>
      </w:r>
      <w:r>
        <w:rPr>
          <w:rFonts w:hint="default" w:ascii="仿宋_GB2312" w:hAnsi="仿宋_GB2312" w:eastAsia="仿宋_GB2312" w:cs="仿宋_GB2312"/>
          <w:b w:val="0"/>
          <w:bCs w:val="0"/>
          <w:color w:val="auto"/>
          <w:sz w:val="32"/>
          <w:szCs w:val="32"/>
          <w:highlight w:val="none"/>
          <w:lang w:val="en-US" w:eastAsia="zh-CN"/>
        </w:rPr>
        <w:t>商铺的工程必须配合</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整体工程，符合有关消防安全要求和工程质量标准，在</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的监督下，按计划并且安全有效地进行</w:t>
      </w:r>
      <w:r>
        <w:rPr>
          <w:rFonts w:hint="eastAsia" w:ascii="仿宋_GB2312" w:hAnsi="仿宋_GB2312" w:eastAsia="仿宋_GB2312" w:cs="仿宋_GB2312"/>
          <w:b w:val="0"/>
          <w:bCs w:val="0"/>
          <w:color w:val="auto"/>
          <w:sz w:val="32"/>
          <w:szCs w:val="32"/>
          <w:highlight w:val="none"/>
          <w:lang w:val="en-US" w:eastAsia="zh-CN"/>
        </w:rPr>
        <w:t>。</w:t>
      </w:r>
    </w:p>
    <w:p w14:paraId="05F1FB3F">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14</w:t>
      </w:r>
      <w:r>
        <w:rPr>
          <w:rFonts w:hint="default" w:ascii="仿宋_GB2312" w:hAnsi="仿宋_GB2312" w:eastAsia="仿宋_GB2312" w:cs="仿宋_GB2312"/>
          <w:b w:val="0"/>
          <w:bCs w:val="0"/>
          <w:color w:val="auto"/>
          <w:sz w:val="32"/>
          <w:szCs w:val="32"/>
          <w:highlight w:val="none"/>
          <w:lang w:val="en-US" w:eastAsia="zh-CN"/>
        </w:rPr>
        <w:t>.9</w:t>
      </w:r>
      <w:r>
        <w:rPr>
          <w:rFonts w:hint="eastAsia" w:ascii="仿宋_GB2312" w:hAnsi="仿宋_GB2312" w:eastAsia="仿宋_GB2312" w:cs="仿宋_GB2312"/>
          <w:b w:val="0"/>
          <w:bCs w:val="0"/>
          <w:color w:val="auto"/>
          <w:sz w:val="32"/>
          <w:szCs w:val="32"/>
          <w:highlight w:val="none"/>
          <w:lang w:val="en-US" w:eastAsia="zh-CN"/>
        </w:rPr>
        <w:t xml:space="preserve"> 乙方</w:t>
      </w:r>
      <w:r>
        <w:rPr>
          <w:rFonts w:hint="default" w:ascii="仿宋_GB2312" w:hAnsi="仿宋_GB2312" w:eastAsia="仿宋_GB2312" w:cs="仿宋_GB2312"/>
          <w:b w:val="0"/>
          <w:bCs w:val="0"/>
          <w:color w:val="auto"/>
          <w:sz w:val="32"/>
          <w:szCs w:val="32"/>
          <w:highlight w:val="none"/>
          <w:lang w:val="en-US" w:eastAsia="zh-CN"/>
        </w:rPr>
        <w:t>对营业区内的装修、照明、水电容量等进行变更时，必须事先向</w:t>
      </w:r>
      <w:r>
        <w:rPr>
          <w:rFonts w:hint="eastAsia" w:ascii="仿宋_GB2312" w:hAnsi="仿宋_GB2312" w:eastAsia="仿宋_GB2312" w:cs="仿宋_GB2312"/>
          <w:b w:val="0"/>
          <w:bCs w:val="0"/>
          <w:color w:val="auto"/>
          <w:sz w:val="32"/>
          <w:szCs w:val="32"/>
          <w:highlight w:val="none"/>
          <w:lang w:val="en-US" w:eastAsia="zh-CN"/>
        </w:rPr>
        <w:t>一个月以书面形式向甲方</w:t>
      </w:r>
      <w:r>
        <w:rPr>
          <w:rFonts w:hint="default" w:ascii="仿宋_GB2312" w:hAnsi="仿宋_GB2312" w:eastAsia="仿宋_GB2312" w:cs="仿宋_GB2312"/>
          <w:b w:val="0"/>
          <w:bCs w:val="0"/>
          <w:color w:val="auto"/>
          <w:sz w:val="32"/>
          <w:szCs w:val="32"/>
          <w:highlight w:val="none"/>
          <w:lang w:val="en-US" w:eastAsia="zh-CN"/>
        </w:rPr>
        <w:t>提出申请，得到</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认可后，在</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的监督下进行施工，其全部费用由</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承担。</w:t>
      </w:r>
    </w:p>
    <w:p w14:paraId="0B76F777">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14</w:t>
      </w:r>
      <w:r>
        <w:rPr>
          <w:rFonts w:hint="default" w:ascii="仿宋_GB2312" w:hAnsi="仿宋_GB2312" w:eastAsia="仿宋_GB2312" w:cs="仿宋_GB2312"/>
          <w:b w:val="0"/>
          <w:bCs w:val="0"/>
          <w:color w:val="auto"/>
          <w:sz w:val="32"/>
          <w:szCs w:val="32"/>
          <w:highlight w:val="none"/>
          <w:lang w:val="en-US" w:eastAsia="zh-CN"/>
        </w:rPr>
        <w:t xml:space="preserve">.10 </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在经营期间产生的电费按电表实际数量收取，第二个月3日内上交</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财务部</w:t>
      </w:r>
      <w:r>
        <w:rPr>
          <w:rFonts w:hint="eastAsia" w:ascii="仿宋_GB2312" w:hAnsi="仿宋_GB2312" w:eastAsia="仿宋_GB2312" w:cs="仿宋_GB2312"/>
          <w:b w:val="0"/>
          <w:bCs w:val="0"/>
          <w:color w:val="auto"/>
          <w:sz w:val="32"/>
          <w:szCs w:val="32"/>
          <w:highlight w:val="none"/>
          <w:lang w:val="en-US" w:eastAsia="zh-CN"/>
        </w:rPr>
        <w:t>门</w:t>
      </w:r>
      <w:r>
        <w:rPr>
          <w:rFonts w:hint="default" w:ascii="仿宋_GB2312" w:hAnsi="仿宋_GB2312" w:eastAsia="仿宋_GB2312" w:cs="仿宋_GB2312"/>
          <w:b w:val="0"/>
          <w:bCs w:val="0"/>
          <w:color w:val="auto"/>
          <w:sz w:val="32"/>
          <w:szCs w:val="32"/>
          <w:highlight w:val="none"/>
          <w:lang w:val="en-US" w:eastAsia="zh-CN"/>
        </w:rPr>
        <w:t>，每度电按</w:t>
      </w:r>
      <w:r>
        <w:rPr>
          <w:rFonts w:hint="eastAsia" w:ascii="仿宋_GB2312" w:hAnsi="仿宋_GB2312" w:eastAsia="仿宋_GB2312" w:cs="仿宋_GB2312"/>
          <w:b w:val="0"/>
          <w:bCs w:val="0"/>
          <w:color w:val="auto"/>
          <w:sz w:val="32"/>
          <w:szCs w:val="32"/>
          <w:highlight w:val="none"/>
          <w:u w:val="single"/>
          <w:lang w:val="en-US" w:eastAsia="zh-CN"/>
        </w:rPr>
        <w:t>1</w:t>
      </w:r>
      <w:r>
        <w:rPr>
          <w:rFonts w:hint="default" w:ascii="仿宋_GB2312" w:hAnsi="仿宋_GB2312" w:eastAsia="仿宋_GB2312" w:cs="仿宋_GB2312"/>
          <w:b w:val="0"/>
          <w:bCs w:val="0"/>
          <w:color w:val="auto"/>
          <w:sz w:val="32"/>
          <w:szCs w:val="32"/>
          <w:highlight w:val="none"/>
          <w:lang w:val="en-US" w:eastAsia="zh-CN"/>
        </w:rPr>
        <w:t>元核算缴费，不允许使用危险性电器产品，如</w:t>
      </w:r>
      <w:r>
        <w:rPr>
          <w:rFonts w:hint="eastAsia"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b w:val="0"/>
          <w:bCs w:val="0"/>
          <w:color w:val="auto"/>
          <w:sz w:val="32"/>
          <w:szCs w:val="32"/>
          <w:highlight w:val="none"/>
          <w:lang w:val="en-US" w:eastAsia="zh-CN"/>
        </w:rPr>
        <w:t>小太阳取暖器等。</w:t>
      </w:r>
    </w:p>
    <w:p w14:paraId="5B5D4641">
      <w:pPr>
        <w:keepNext w:val="0"/>
        <w:keepLines w:val="0"/>
        <w:pageBreakBefore w:val="0"/>
        <w:tabs>
          <w:tab w:val="left" w:pos="126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五</w:t>
      </w:r>
      <w:r>
        <w:rPr>
          <w:rFonts w:hint="eastAsia" w:ascii="仿宋_GB2312" w:hAnsi="仿宋_GB2312" w:eastAsia="仿宋_GB2312" w:cs="仿宋_GB2312"/>
          <w:b/>
          <w:bCs/>
          <w:color w:val="auto"/>
          <w:sz w:val="32"/>
          <w:szCs w:val="32"/>
          <w:highlight w:val="none"/>
        </w:rPr>
        <w:t>条  乙方进一步保证和确认</w:t>
      </w:r>
    </w:p>
    <w:p w14:paraId="2EA7B41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 xml:space="preserve">  乙方保证不擅自改变该房屋相关设施（包括但不限于楼道、通道、大门、走廊、设备用房）的设计用途，亦不得采用封堵或阻挡等任何方式妨碍其实现设计用途。</w:t>
      </w:r>
    </w:p>
    <w:p w14:paraId="2D21ACE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乙方保证按时足额交纳物业服务费、公用事业费。如因乙方延迟交纳导致甲方垫付或承担责任的，甲方有权向乙方追偿，且乙方每日应按甲方垫付款项金额的</w:t>
      </w:r>
      <w:r>
        <w:rPr>
          <w:rFonts w:hint="eastAsia" w:ascii="仿宋_GB2312" w:hAnsi="仿宋_GB2312" w:eastAsia="仿宋_GB2312" w:cs="仿宋_GB2312"/>
          <w:color w:val="auto"/>
          <w:sz w:val="32"/>
          <w:szCs w:val="32"/>
          <w:highlight w:val="none"/>
          <w:lang w:val="en-US" w:eastAsia="zh-CN"/>
        </w:rPr>
        <w:t>百分之一</w:t>
      </w:r>
      <w:r>
        <w:rPr>
          <w:rFonts w:hint="eastAsia" w:ascii="仿宋_GB2312" w:hAnsi="仿宋_GB2312" w:eastAsia="仿宋_GB2312" w:cs="仿宋_GB2312"/>
          <w:color w:val="auto"/>
          <w:sz w:val="32"/>
          <w:szCs w:val="32"/>
          <w:highlight w:val="none"/>
        </w:rPr>
        <w:t>支付</w:t>
      </w:r>
      <w:r>
        <w:rPr>
          <w:rFonts w:hint="eastAsia" w:ascii="仿宋_GB2312" w:hAnsi="仿宋_GB2312" w:eastAsia="仿宋_GB2312" w:cs="仿宋_GB2312"/>
          <w:color w:val="auto"/>
          <w:sz w:val="32"/>
          <w:szCs w:val="32"/>
          <w:highlight w:val="none"/>
          <w:lang w:val="en-US" w:eastAsia="zh-CN"/>
        </w:rPr>
        <w:t>违约金</w:t>
      </w:r>
      <w:r>
        <w:rPr>
          <w:rFonts w:hint="eastAsia" w:ascii="仿宋_GB2312" w:hAnsi="仿宋_GB2312" w:eastAsia="仿宋_GB2312" w:cs="仿宋_GB2312"/>
          <w:color w:val="auto"/>
          <w:sz w:val="32"/>
          <w:szCs w:val="32"/>
          <w:highlight w:val="none"/>
        </w:rPr>
        <w:t>，自甲方垫付之日计算到乙方足额偿还甲方之日。</w:t>
      </w:r>
    </w:p>
    <w:p w14:paraId="43AEF4A2">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  乙方保证在该房屋装修和经营期间执行国家、地方消防法规、规范和项目消防管理规定，包括但不限于：不使用易燃易爆、有毒有害材料，不堵塞或占用消防通道，不使用明火、危险品、易燃物、电加热器，执行公共区域禁止吸烟规定；并配齐消防器具，组织工作人员消防培训，具备火灾等突发事件紧急疏散等处置能力。乙方应确保其代理人、工作人员、装修及安装人员执行前述保证内容，否则产</w:t>
      </w:r>
      <w:r>
        <w:rPr>
          <w:rFonts w:hint="eastAsia" w:ascii="仿宋_GB2312" w:hAnsi="仿宋_GB2312" w:eastAsia="仿宋_GB2312" w:cs="仿宋_GB2312"/>
          <w:color w:val="auto"/>
          <w:sz w:val="32"/>
          <w:szCs w:val="32"/>
          <w:highlight w:val="none"/>
          <w:lang w:eastAsia="zh-CN"/>
        </w:rPr>
        <w:t>生的</w:t>
      </w:r>
      <w:r>
        <w:rPr>
          <w:rFonts w:hint="eastAsia" w:ascii="仿宋_GB2312" w:hAnsi="仿宋_GB2312" w:eastAsia="仿宋_GB2312" w:cs="仿宋_GB2312"/>
          <w:color w:val="auto"/>
          <w:sz w:val="32"/>
          <w:szCs w:val="32"/>
          <w:highlight w:val="none"/>
        </w:rPr>
        <w:t>任何损失或责任均由乙方自行处理和承担。</w:t>
      </w:r>
    </w:p>
    <w:p w14:paraId="044FD81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乙方确认，经甲方告知，乙方知悉该房屋于本合同签署时是否已设定抵押。</w:t>
      </w:r>
    </w:p>
    <w:p w14:paraId="2FF332A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15</w:t>
      </w:r>
      <w:r>
        <w:rPr>
          <w:rFonts w:hint="default" w:ascii="仿宋_GB2312" w:hAnsi="仿宋_GB2312" w:eastAsia="仿宋_GB2312" w:cs="仿宋_GB2312"/>
          <w:b w:val="0"/>
          <w:bCs w:val="0"/>
          <w:color w:val="auto"/>
          <w:sz w:val="32"/>
          <w:szCs w:val="32"/>
          <w:highlight w:val="none"/>
          <w:lang w:val="en-US" w:eastAsia="zh-CN"/>
        </w:rPr>
        <w:t>.5</w:t>
      </w:r>
      <w:r>
        <w:rPr>
          <w:rFonts w:hint="eastAsia" w:ascii="仿宋_GB2312" w:hAnsi="仿宋_GB2312" w:eastAsia="仿宋_GB2312" w:cs="仿宋_GB2312"/>
          <w:b w:val="0"/>
          <w:bCs w:val="0"/>
          <w:color w:val="auto"/>
          <w:sz w:val="32"/>
          <w:szCs w:val="32"/>
          <w:highlight w:val="none"/>
          <w:lang w:val="en-US" w:eastAsia="zh-CN"/>
        </w:rPr>
        <w:t xml:space="preserve"> </w:t>
      </w:r>
      <w:r>
        <w:rPr>
          <w:rFonts w:hint="default"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所售商品必须符合《中华人民共和国产品质量法》，</w:t>
      </w:r>
      <w:r>
        <w:rPr>
          <w:rFonts w:hint="eastAsia" w:ascii="仿宋_GB2312" w:hAnsi="仿宋_GB2312" w:eastAsia="仿宋_GB2312" w:cs="仿宋_GB2312"/>
          <w:b w:val="0"/>
          <w:bCs w:val="0"/>
          <w:color w:val="auto"/>
          <w:sz w:val="32"/>
          <w:szCs w:val="32"/>
          <w:highlight w:val="none"/>
          <w:lang w:val="en-US" w:eastAsia="zh-CN"/>
        </w:rPr>
        <w:t>且</w:t>
      </w:r>
      <w:r>
        <w:rPr>
          <w:rFonts w:hint="default" w:ascii="仿宋_GB2312" w:hAnsi="仿宋_GB2312" w:eastAsia="仿宋_GB2312" w:cs="仿宋_GB2312"/>
          <w:b w:val="0"/>
          <w:bCs w:val="0"/>
          <w:color w:val="auto"/>
          <w:sz w:val="32"/>
          <w:szCs w:val="32"/>
          <w:highlight w:val="none"/>
          <w:lang w:val="en-US" w:eastAsia="zh-CN"/>
        </w:rPr>
        <w:t>商品标价须符合国家有关政策法规，</w:t>
      </w:r>
      <w:r>
        <w:rPr>
          <w:rFonts w:hint="eastAsia" w:ascii="仿宋_GB2312" w:hAnsi="仿宋_GB2312" w:eastAsia="仿宋_GB2312" w:cs="仿宋_GB2312"/>
          <w:b w:val="0"/>
          <w:bCs w:val="0"/>
          <w:color w:val="auto"/>
          <w:sz w:val="32"/>
          <w:szCs w:val="32"/>
          <w:highlight w:val="none"/>
          <w:lang w:val="en-US" w:eastAsia="zh-CN"/>
        </w:rPr>
        <w:t>接受并积极配合</w:t>
      </w:r>
      <w:r>
        <w:rPr>
          <w:rFonts w:hint="default" w:ascii="仿宋_GB2312" w:hAnsi="仿宋_GB2312" w:eastAsia="仿宋_GB2312" w:cs="仿宋_GB2312"/>
          <w:b w:val="0"/>
          <w:bCs w:val="0"/>
          <w:color w:val="auto"/>
          <w:sz w:val="32"/>
          <w:szCs w:val="32"/>
          <w:highlight w:val="none"/>
          <w:lang w:val="en-US" w:eastAsia="zh-CN"/>
        </w:rPr>
        <w:t>物价局</w:t>
      </w:r>
      <w:r>
        <w:rPr>
          <w:rFonts w:hint="eastAsia" w:ascii="仿宋_GB2312" w:hAnsi="仿宋_GB2312" w:eastAsia="仿宋_GB2312" w:cs="仿宋_GB2312"/>
          <w:b w:val="0"/>
          <w:bCs w:val="0"/>
          <w:color w:val="auto"/>
          <w:sz w:val="32"/>
          <w:szCs w:val="32"/>
          <w:highlight w:val="none"/>
          <w:lang w:val="en-US" w:eastAsia="zh-CN"/>
        </w:rPr>
        <w:t>等有关部门监督检查，一旦质量、效期、定价发生问题，均由乙方自行承担，如对甲方声誉造成严重影响的，甲方有权利单方面解除本合同，履约抵押金及押金均不予退还。</w:t>
      </w:r>
      <w:r>
        <w:rPr>
          <w:rFonts w:hint="default" w:ascii="仿宋_GB2312" w:hAnsi="仿宋_GB2312" w:eastAsia="仿宋_GB2312" w:cs="仿宋_GB2312"/>
          <w:b w:val="0"/>
          <w:bCs w:val="0"/>
          <w:color w:val="auto"/>
          <w:sz w:val="32"/>
          <w:szCs w:val="32"/>
          <w:highlight w:val="none"/>
          <w:lang w:val="en-US" w:eastAsia="zh-CN"/>
        </w:rPr>
        <w:t>如特殊需要，要提前向</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申请，</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批准后方可经营。</w:t>
      </w:r>
    </w:p>
    <w:p w14:paraId="35B3670A">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15.6  乙方</w:t>
      </w:r>
      <w:r>
        <w:rPr>
          <w:rFonts w:hint="default" w:ascii="仿宋_GB2312" w:hAnsi="仿宋_GB2312" w:eastAsia="仿宋_GB2312" w:cs="仿宋_GB2312"/>
          <w:b w:val="0"/>
          <w:bCs w:val="0"/>
          <w:color w:val="auto"/>
          <w:sz w:val="32"/>
          <w:szCs w:val="32"/>
          <w:highlight w:val="none"/>
          <w:lang w:val="en-US" w:eastAsia="zh-CN"/>
        </w:rPr>
        <w:t>陈列或销售的商品，不得有侵害他人商标权、专利权、代理权</w:t>
      </w:r>
      <w:r>
        <w:rPr>
          <w:rFonts w:hint="eastAsia" w:ascii="仿宋_GB2312" w:hAnsi="仿宋_GB2312" w:eastAsia="仿宋_GB2312" w:cs="仿宋_GB2312"/>
          <w:b w:val="0"/>
          <w:bCs w:val="0"/>
          <w:color w:val="auto"/>
          <w:sz w:val="32"/>
          <w:szCs w:val="32"/>
          <w:highlight w:val="none"/>
          <w:lang w:val="en-US" w:eastAsia="zh-CN"/>
        </w:rPr>
        <w:t>或其他</w:t>
      </w:r>
      <w:r>
        <w:rPr>
          <w:rFonts w:hint="default" w:ascii="仿宋_GB2312" w:hAnsi="仿宋_GB2312" w:eastAsia="仿宋_GB2312" w:cs="仿宋_GB2312"/>
          <w:b w:val="0"/>
          <w:bCs w:val="0"/>
          <w:color w:val="auto"/>
          <w:sz w:val="32"/>
          <w:szCs w:val="32"/>
          <w:highlight w:val="none"/>
          <w:lang w:val="en-US" w:eastAsia="zh-CN"/>
        </w:rPr>
        <w:t>违法行为。如有违反，</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除须自负法律责任外，应赔偿甲方因处理上述问题所发生的一切费用和损失。</w:t>
      </w:r>
    </w:p>
    <w:p w14:paraId="125B3D1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 xml:space="preserve">15.7 </w:t>
      </w:r>
      <w:r>
        <w:rPr>
          <w:rFonts w:hint="eastAsia" w:ascii="仿宋_GB2312" w:hAnsi="仿宋_GB2312" w:eastAsia="仿宋_GB2312" w:cs="仿宋_GB2312"/>
          <w:b w:val="0"/>
          <w:bCs w:val="0"/>
          <w:color w:val="auto"/>
          <w:sz w:val="32"/>
          <w:szCs w:val="32"/>
          <w:highlight w:val="none"/>
          <w:lang w:val="en-US" w:eastAsia="zh-CN"/>
        </w:rPr>
        <w:t xml:space="preserve"> 乙方</w:t>
      </w:r>
      <w:r>
        <w:rPr>
          <w:rFonts w:hint="default" w:ascii="仿宋_GB2312" w:hAnsi="仿宋_GB2312" w:eastAsia="仿宋_GB2312" w:cs="仿宋_GB2312"/>
          <w:b w:val="0"/>
          <w:bCs w:val="0"/>
          <w:color w:val="auto"/>
          <w:sz w:val="32"/>
          <w:szCs w:val="32"/>
          <w:highlight w:val="none"/>
          <w:lang w:val="en-US" w:eastAsia="zh-CN"/>
        </w:rPr>
        <w:t>不得“雇托”经营，坑骗顾客，保证商品质量，讲究信誉。凡有不良行为出现者，一经发现</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将终止合同</w:t>
      </w:r>
      <w:r>
        <w:rPr>
          <w:rFonts w:hint="eastAsia" w:ascii="仿宋_GB2312" w:hAnsi="仿宋_GB2312" w:eastAsia="仿宋_GB2312" w:cs="仿宋_GB2312"/>
          <w:b w:val="0"/>
          <w:bCs w:val="0"/>
          <w:color w:val="auto"/>
          <w:sz w:val="32"/>
          <w:szCs w:val="32"/>
          <w:highlight w:val="none"/>
          <w:lang w:val="en-US" w:eastAsia="zh-CN"/>
        </w:rPr>
        <w:t>；乙方所售</w:t>
      </w:r>
      <w:r>
        <w:rPr>
          <w:rFonts w:hint="default" w:ascii="仿宋_GB2312" w:hAnsi="仿宋_GB2312" w:eastAsia="仿宋_GB2312" w:cs="仿宋_GB2312"/>
          <w:b w:val="0"/>
          <w:bCs w:val="0"/>
          <w:color w:val="auto"/>
          <w:sz w:val="32"/>
          <w:szCs w:val="32"/>
          <w:highlight w:val="none"/>
          <w:lang w:val="en-US" w:eastAsia="zh-CN"/>
        </w:rPr>
        <w:t>商品出现质量问题发生顾客投诉，均由</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承担相关责任。</w:t>
      </w:r>
      <w:r>
        <w:rPr>
          <w:rFonts w:hint="eastAsia" w:ascii="仿宋_GB2312" w:hAnsi="仿宋_GB2312" w:eastAsia="仿宋_GB2312" w:cs="仿宋_GB2312"/>
          <w:b w:val="0"/>
          <w:bCs w:val="0"/>
          <w:color w:val="auto"/>
          <w:sz w:val="32"/>
          <w:szCs w:val="32"/>
          <w:highlight w:val="none"/>
          <w:lang w:val="en-US" w:eastAsia="zh-CN"/>
        </w:rPr>
        <w:t>如</w:t>
      </w:r>
      <w:r>
        <w:rPr>
          <w:rFonts w:hint="default" w:ascii="仿宋_GB2312" w:hAnsi="仿宋_GB2312" w:eastAsia="仿宋_GB2312" w:cs="仿宋_GB2312"/>
          <w:b w:val="0"/>
          <w:bCs w:val="0"/>
          <w:color w:val="auto"/>
          <w:sz w:val="32"/>
          <w:szCs w:val="32"/>
          <w:highlight w:val="none"/>
          <w:lang w:val="en-US" w:eastAsia="zh-CN"/>
        </w:rPr>
        <w:t>引起</w:t>
      </w:r>
      <w:r>
        <w:rPr>
          <w:rFonts w:hint="eastAsia" w:ascii="仿宋_GB2312" w:hAnsi="仿宋_GB2312" w:eastAsia="仿宋_GB2312" w:cs="仿宋_GB2312"/>
          <w:b w:val="0"/>
          <w:bCs w:val="0"/>
          <w:color w:val="auto"/>
          <w:sz w:val="32"/>
          <w:szCs w:val="32"/>
          <w:highlight w:val="none"/>
          <w:lang w:val="en-US" w:eastAsia="zh-CN"/>
        </w:rPr>
        <w:t>医护人员、患者及家属不满意或</w:t>
      </w:r>
      <w:r>
        <w:rPr>
          <w:rFonts w:hint="default" w:ascii="仿宋_GB2312" w:hAnsi="仿宋_GB2312" w:eastAsia="仿宋_GB2312" w:cs="仿宋_GB2312"/>
          <w:b w:val="0"/>
          <w:bCs w:val="0"/>
          <w:color w:val="auto"/>
          <w:sz w:val="32"/>
          <w:szCs w:val="32"/>
          <w:highlight w:val="none"/>
          <w:lang w:val="en-US" w:eastAsia="zh-CN"/>
        </w:rPr>
        <w:t>纠纷</w:t>
      </w:r>
      <w:r>
        <w:rPr>
          <w:rFonts w:hint="eastAsia" w:ascii="仿宋_GB2312" w:hAnsi="仿宋_GB2312" w:eastAsia="仿宋_GB2312" w:cs="仿宋_GB2312"/>
          <w:b w:val="0"/>
          <w:bCs w:val="0"/>
          <w:color w:val="auto"/>
          <w:sz w:val="32"/>
          <w:szCs w:val="32"/>
          <w:highlight w:val="none"/>
          <w:lang w:val="en-US" w:eastAsia="zh-CN"/>
        </w:rPr>
        <w:t>等</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扣罚</w:t>
      </w:r>
      <w:r>
        <w:rPr>
          <w:rFonts w:hint="default" w:ascii="仿宋_GB2312" w:hAnsi="仿宋_GB2312" w:eastAsia="仿宋_GB2312" w:cs="仿宋_GB2312"/>
          <w:b w:val="0"/>
          <w:bCs w:val="0"/>
          <w:color w:val="auto"/>
          <w:sz w:val="32"/>
          <w:szCs w:val="32"/>
          <w:highlight w:val="none"/>
          <w:lang w:val="en-US" w:eastAsia="zh-CN"/>
        </w:rPr>
        <w:t>履约</w:t>
      </w:r>
      <w:r>
        <w:rPr>
          <w:rFonts w:hint="eastAsia" w:ascii="仿宋_GB2312" w:hAnsi="仿宋_GB2312" w:eastAsia="仿宋_GB2312" w:cs="仿宋_GB2312"/>
          <w:b w:val="0"/>
          <w:bCs w:val="0"/>
          <w:color w:val="auto"/>
          <w:sz w:val="32"/>
          <w:szCs w:val="32"/>
          <w:highlight w:val="none"/>
          <w:lang w:val="en-US" w:eastAsia="zh-CN"/>
        </w:rPr>
        <w:t>保证</w:t>
      </w:r>
      <w:r>
        <w:rPr>
          <w:rFonts w:hint="default" w:ascii="仿宋_GB2312" w:hAnsi="仿宋_GB2312" w:eastAsia="仿宋_GB2312" w:cs="仿宋_GB2312"/>
          <w:b w:val="0"/>
          <w:bCs w:val="0"/>
          <w:color w:val="auto"/>
          <w:sz w:val="32"/>
          <w:szCs w:val="32"/>
          <w:highlight w:val="none"/>
          <w:lang w:val="en-US" w:eastAsia="zh-CN"/>
        </w:rPr>
        <w:t>金</w:t>
      </w:r>
      <w:r>
        <w:rPr>
          <w:rFonts w:hint="eastAsia" w:ascii="仿宋_GB2312" w:hAnsi="仿宋_GB2312" w:eastAsia="仿宋_GB2312" w:cs="仿宋_GB2312"/>
          <w:b w:val="0"/>
          <w:bCs w:val="0"/>
          <w:color w:val="auto"/>
          <w:sz w:val="32"/>
          <w:szCs w:val="32"/>
          <w:highlight w:val="none"/>
          <w:lang w:val="en-US" w:eastAsia="zh-CN"/>
        </w:rPr>
        <w:t>500元/次</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不得从事有损</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的活动和行为，造成的损失由</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承担，同时</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有权解除合同。</w:t>
      </w:r>
    </w:p>
    <w:p w14:paraId="1DF2526B">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 xml:space="preserve">15.8 </w:t>
      </w:r>
      <w:r>
        <w:rPr>
          <w:rFonts w:hint="eastAsia" w:ascii="仿宋_GB2312" w:hAnsi="仿宋_GB2312" w:eastAsia="仿宋_GB2312" w:cs="仿宋_GB2312"/>
          <w:b w:val="0"/>
          <w:bCs w:val="0"/>
          <w:color w:val="auto"/>
          <w:sz w:val="32"/>
          <w:szCs w:val="32"/>
          <w:highlight w:val="none"/>
          <w:lang w:val="en-US" w:eastAsia="zh-CN"/>
        </w:rPr>
        <w:t xml:space="preserve"> 乙方</w:t>
      </w:r>
      <w:r>
        <w:rPr>
          <w:rFonts w:hint="default" w:ascii="仿宋_GB2312" w:hAnsi="仿宋_GB2312" w:eastAsia="仿宋_GB2312" w:cs="仿宋_GB2312"/>
          <w:b w:val="0"/>
          <w:bCs w:val="0"/>
          <w:color w:val="auto"/>
          <w:sz w:val="32"/>
          <w:szCs w:val="32"/>
          <w:highlight w:val="none"/>
          <w:lang w:val="en-US" w:eastAsia="zh-CN"/>
        </w:rPr>
        <w:t>须遵守国家各项政策法规，文明经营，做到售出商品保证质量，实行“三包”，确保</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及</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商业声誉</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的工作人员应遵守</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相关制度要求，</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有义务接受</w:t>
      </w:r>
      <w:r>
        <w:rPr>
          <w:rFonts w:hint="eastAsia" w:ascii="仿宋_GB2312" w:hAnsi="仿宋_GB2312" w:eastAsia="仿宋_GB2312" w:cs="仿宋_GB2312"/>
          <w:b w:val="0"/>
          <w:bCs w:val="0"/>
          <w:color w:val="auto"/>
          <w:sz w:val="32"/>
          <w:szCs w:val="32"/>
          <w:highlight w:val="none"/>
          <w:lang w:val="en-US" w:eastAsia="zh-CN"/>
        </w:rPr>
        <w:t>甲方</w:t>
      </w:r>
      <w:r>
        <w:rPr>
          <w:rFonts w:hint="default" w:ascii="仿宋_GB2312" w:hAnsi="仿宋_GB2312" w:eastAsia="仿宋_GB2312" w:cs="仿宋_GB2312"/>
          <w:b w:val="0"/>
          <w:bCs w:val="0"/>
          <w:color w:val="auto"/>
          <w:sz w:val="32"/>
          <w:szCs w:val="32"/>
          <w:highlight w:val="none"/>
          <w:lang w:val="en-US" w:eastAsia="zh-CN"/>
        </w:rPr>
        <w:t>物业方面管理，自觉维护甲方声誉和形象。</w:t>
      </w:r>
    </w:p>
    <w:p w14:paraId="5156AC41">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15.9  乙方</w:t>
      </w:r>
      <w:r>
        <w:rPr>
          <w:rFonts w:hint="default" w:ascii="仿宋_GB2312" w:hAnsi="仿宋_GB2312" w:eastAsia="仿宋_GB2312" w:cs="仿宋_GB2312"/>
          <w:b w:val="0"/>
          <w:bCs w:val="0"/>
          <w:color w:val="auto"/>
          <w:sz w:val="32"/>
          <w:szCs w:val="32"/>
          <w:highlight w:val="none"/>
          <w:lang w:val="en-US" w:eastAsia="zh-CN"/>
        </w:rPr>
        <w:t>需守法经营，</w:t>
      </w:r>
      <w:r>
        <w:rPr>
          <w:rFonts w:hint="eastAsia" w:ascii="仿宋_GB2312" w:hAnsi="仿宋_GB2312" w:eastAsia="仿宋_GB2312" w:cs="仿宋_GB2312"/>
          <w:b w:val="0"/>
          <w:bCs w:val="0"/>
          <w:color w:val="auto"/>
          <w:sz w:val="32"/>
          <w:szCs w:val="32"/>
          <w:highlight w:val="none"/>
          <w:lang w:val="en-US" w:eastAsia="zh-CN"/>
        </w:rPr>
        <w:t>乙方</w:t>
      </w:r>
      <w:r>
        <w:rPr>
          <w:rFonts w:hint="default" w:ascii="仿宋_GB2312" w:hAnsi="仿宋_GB2312" w:eastAsia="仿宋_GB2312" w:cs="仿宋_GB2312"/>
          <w:b w:val="0"/>
          <w:bCs w:val="0"/>
          <w:color w:val="auto"/>
          <w:sz w:val="32"/>
          <w:szCs w:val="32"/>
          <w:highlight w:val="none"/>
          <w:lang w:val="en-US" w:eastAsia="zh-CN"/>
        </w:rPr>
        <w:t>负责经营过程中的所有费用，包括支付给</w:t>
      </w:r>
      <w:r>
        <w:rPr>
          <w:rFonts w:hint="eastAsia" w:ascii="仿宋_GB2312" w:hAnsi="仿宋_GB2312" w:eastAsia="仿宋_GB2312" w:cs="仿宋_GB2312"/>
          <w:b w:val="0"/>
          <w:bCs w:val="0"/>
          <w:color w:val="auto"/>
          <w:sz w:val="32"/>
          <w:szCs w:val="32"/>
          <w:highlight w:val="none"/>
          <w:lang w:val="en-US" w:eastAsia="zh-CN"/>
        </w:rPr>
        <w:t>乙方雇佣</w:t>
      </w:r>
      <w:r>
        <w:rPr>
          <w:rFonts w:hint="default" w:ascii="仿宋_GB2312" w:hAnsi="仿宋_GB2312" w:eastAsia="仿宋_GB2312" w:cs="仿宋_GB2312"/>
          <w:b w:val="0"/>
          <w:bCs w:val="0"/>
          <w:color w:val="auto"/>
          <w:sz w:val="32"/>
          <w:szCs w:val="32"/>
          <w:highlight w:val="none"/>
          <w:lang w:val="en-US" w:eastAsia="zh-CN"/>
        </w:rPr>
        <w:t>员工报酬和保险福利待遇等</w:t>
      </w:r>
      <w:r>
        <w:rPr>
          <w:rFonts w:hint="eastAsia" w:ascii="仿宋_GB2312" w:hAnsi="仿宋_GB2312" w:eastAsia="仿宋_GB2312" w:cs="仿宋_GB2312"/>
          <w:b w:val="0"/>
          <w:bCs w:val="0"/>
          <w:color w:val="auto"/>
          <w:sz w:val="32"/>
          <w:szCs w:val="32"/>
          <w:highlight w:val="none"/>
          <w:lang w:val="en-US" w:eastAsia="zh-CN"/>
        </w:rPr>
        <w:t>。</w:t>
      </w:r>
    </w:p>
    <w:p w14:paraId="79049444">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15.10</w:t>
      </w:r>
      <w:r>
        <w:rPr>
          <w:rFonts w:hint="eastAsia" w:ascii="仿宋_GB2312" w:hAnsi="仿宋_GB2312" w:eastAsia="仿宋_GB2312" w:cs="仿宋_GB2312"/>
          <w:b w:val="0"/>
          <w:bCs w:val="0"/>
          <w:color w:val="auto"/>
          <w:sz w:val="32"/>
          <w:szCs w:val="32"/>
          <w:highlight w:val="none"/>
          <w:lang w:val="en-US" w:eastAsia="zh-CN"/>
        </w:rPr>
        <w:t xml:space="preserve">  在租赁期限内，乙方是该房屋的实际管理人，乙方的人身和财产安全均由乙方自行承担。</w:t>
      </w:r>
    </w:p>
    <w:p w14:paraId="48EEE11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15.11  乙方承诺：甲方医护及管理人员、患者和家属即使不购买东西也可以在商铺内坐着休息。</w:t>
      </w:r>
    </w:p>
    <w:p w14:paraId="0114C830">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15.12  因第三方原因导致乙方商品、货物、其他财产发生损害或导致乙方蒙受损失的，乙方自行向第三方索赔，甲方不承担赔偿或补偿责任。</w:t>
      </w:r>
    </w:p>
    <w:p w14:paraId="523357F0">
      <w:pPr>
        <w:keepNext w:val="0"/>
        <w:keepLines w:val="0"/>
        <w:pageBreakBefore w:val="0"/>
        <w:numPr>
          <w:ilvl w:val="-1"/>
          <w:numId w:val="0"/>
        </w:numPr>
        <w:kinsoku/>
        <w:wordWrap/>
        <w:overflowPunct/>
        <w:topLinePunct w:val="0"/>
        <w:bidi w:val="0"/>
        <w:adjustRightInd/>
        <w:snapToGrid/>
        <w:spacing w:line="460" w:lineRule="exact"/>
        <w:ind w:firstLine="0" w:firstLineChars="0"/>
        <w:contextualSpacing w:val="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第十六条</w:t>
      </w:r>
      <w:r>
        <w:rPr>
          <w:rFonts w:hint="eastAsia" w:ascii="仿宋_GB2312" w:hAnsi="仿宋_GB2312" w:eastAsia="仿宋_GB2312" w:cs="仿宋_GB2312"/>
          <w:b/>
          <w:bCs/>
          <w:color w:val="auto"/>
          <w:sz w:val="32"/>
          <w:szCs w:val="32"/>
          <w:highlight w:val="none"/>
        </w:rPr>
        <w:t xml:space="preserve"> 甲方的保证和责任</w:t>
      </w:r>
    </w:p>
    <w:p w14:paraId="0D917A95">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.1  甲方在乙方使用期间甲方有权将此房屋进行出售，</w:t>
      </w:r>
      <w:r>
        <w:rPr>
          <w:rFonts w:hint="eastAsia" w:ascii="仿宋_GB2312" w:hAnsi="仿宋_GB2312" w:eastAsia="仿宋_GB2312" w:cs="仿宋_GB2312"/>
          <w:color w:val="auto"/>
          <w:sz w:val="32"/>
          <w:szCs w:val="32"/>
          <w:highlight w:val="none"/>
          <w:lang w:val="en-US" w:eastAsia="zh-CN"/>
        </w:rPr>
        <w:t>但甲方应</w:t>
      </w:r>
      <w:r>
        <w:rPr>
          <w:rFonts w:hint="eastAsia" w:ascii="仿宋_GB2312" w:hAnsi="仿宋_GB2312" w:eastAsia="仿宋_GB2312" w:cs="仿宋_GB2312"/>
          <w:color w:val="auto"/>
          <w:sz w:val="32"/>
          <w:szCs w:val="32"/>
          <w:highlight w:val="none"/>
        </w:rPr>
        <w:t>提前30日通知乙方，乙方需按</w:t>
      </w:r>
      <w:r>
        <w:rPr>
          <w:rFonts w:hint="eastAsia" w:ascii="仿宋_GB2312" w:hAnsi="仿宋_GB2312" w:eastAsia="仿宋_GB2312" w:cs="仿宋_GB2312"/>
          <w:color w:val="auto"/>
          <w:sz w:val="32"/>
          <w:szCs w:val="32"/>
          <w:highlight w:val="none"/>
          <w:lang w:val="en-US" w:eastAsia="zh-CN"/>
        </w:rPr>
        <w:t>合同相关</w:t>
      </w:r>
      <w:r>
        <w:rPr>
          <w:rFonts w:hint="eastAsia" w:ascii="仿宋_GB2312" w:hAnsi="仿宋_GB2312" w:eastAsia="仿宋_GB2312" w:cs="仿宋_GB2312"/>
          <w:color w:val="auto"/>
          <w:sz w:val="32"/>
          <w:szCs w:val="32"/>
          <w:highlight w:val="none"/>
        </w:rPr>
        <w:t>约定归还房屋，甲方无需承担任何违约责任。</w:t>
      </w:r>
    </w:p>
    <w:p w14:paraId="5E5825F5">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甲方或物业服务公司对该房屋及设施的定期维修保养应事先通知乙方，并应合理安排时间，尽可能避免影响乙方的正常经营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因疫情或其他不可抗力因素导致装修期延长</w:t>
      </w:r>
      <w:r>
        <w:rPr>
          <w:rFonts w:hint="eastAsia" w:ascii="仿宋_GB2312" w:hAnsi="仿宋_GB2312" w:eastAsia="仿宋_GB2312" w:cs="仿宋_GB2312"/>
          <w:color w:val="auto"/>
          <w:sz w:val="32"/>
          <w:szCs w:val="32"/>
          <w:highlight w:val="none"/>
          <w:lang w:val="en-US" w:eastAsia="zh-CN"/>
        </w:rPr>
        <w:t>甲方应另行通知</w:t>
      </w:r>
      <w:r>
        <w:rPr>
          <w:rFonts w:hint="eastAsia" w:ascii="仿宋_GB2312" w:hAnsi="仿宋_GB2312" w:eastAsia="仿宋_GB2312" w:cs="仿宋_GB2312"/>
          <w:color w:val="auto"/>
          <w:sz w:val="32"/>
          <w:szCs w:val="32"/>
          <w:highlight w:val="none"/>
        </w:rPr>
        <w:t>。</w:t>
      </w:r>
    </w:p>
    <w:p w14:paraId="3361D8B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16.3  甲方委托物业管理有限公司负责本物业的公共设备设施、共用部位的维修、养护和管理，负责维护公共秩序和安全防范事项的协助管理。</w:t>
      </w:r>
    </w:p>
    <w:p w14:paraId="4BF735B7">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16.5  甲方委托物业管理公司在日常管理工作中，有权监督乙方遵守各项物业管理制度。</w:t>
      </w:r>
    </w:p>
    <w:p w14:paraId="1C190BAF">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16.6  在本合同租赁期内，如该商铺产权发生转让时，甲方应提前通知乙方。</w:t>
      </w:r>
    </w:p>
    <w:p w14:paraId="2F4A77D2">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val="en-US" w:eastAsia="zh-CN"/>
        </w:rPr>
        <w:t>七</w:t>
      </w:r>
      <w:r>
        <w:rPr>
          <w:rFonts w:hint="eastAsia" w:ascii="仿宋_GB2312" w:hAnsi="仿宋_GB2312" w:eastAsia="仿宋_GB2312" w:cs="仿宋_GB2312"/>
          <w:b/>
          <w:bCs/>
          <w:color w:val="auto"/>
          <w:sz w:val="32"/>
          <w:szCs w:val="32"/>
          <w:highlight w:val="none"/>
        </w:rPr>
        <w:t>条  保险</w:t>
      </w:r>
    </w:p>
    <w:p w14:paraId="40ABF64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商业用房的保险（包含公共责任险）由乙方进行投保，保险费由乙方承担，其受益人为乙方。在租赁期限内，如因乙方原因造成该商业用房或其附属设施损坏或给第三方造成损失的，由乙方负责修复及赔偿。如因乙方原因导致该房屋设施损坏获保险公司理赔的，则修复及赔偿所需费用应先由理赔费用中支出，理赔费用不足部分由乙方承担。</w:t>
      </w:r>
    </w:p>
    <w:p w14:paraId="1570F6B4">
      <w:pPr>
        <w:keepNext w:val="0"/>
        <w:keepLines w:val="0"/>
        <w:pageBreakBefore w:val="0"/>
        <w:numPr>
          <w:ilvl w:val="-1"/>
          <w:numId w:val="0"/>
        </w:numPr>
        <w:kinsoku/>
        <w:wordWrap/>
        <w:overflowPunct/>
        <w:topLinePunct w:val="0"/>
        <w:bidi w:val="0"/>
        <w:adjustRightInd/>
        <w:snapToGrid/>
        <w:spacing w:line="460" w:lineRule="exact"/>
        <w:ind w:left="0" w:firstLine="0" w:firstLineChars="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第十八条  </w:t>
      </w:r>
      <w:r>
        <w:rPr>
          <w:rFonts w:hint="eastAsia" w:ascii="仿宋_GB2312" w:hAnsi="仿宋_GB2312" w:eastAsia="仿宋_GB2312" w:cs="仿宋_GB2312"/>
          <w:b/>
          <w:bCs/>
          <w:color w:val="auto"/>
          <w:sz w:val="32"/>
          <w:szCs w:val="32"/>
          <w:highlight w:val="none"/>
        </w:rPr>
        <w:t>转租限制</w:t>
      </w:r>
    </w:p>
    <w:p w14:paraId="1F1A07C2">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未经甲方书面批准，乙方不得对该房屋进行任何形式的转租、分租、对外承包、合作经营或联营，否则视为乙方严重违约，甲方有权解除本合同，乙方承担导致本合同提前终止的违约责任。</w:t>
      </w:r>
    </w:p>
    <w:p w14:paraId="5057BE8B">
      <w:pPr>
        <w:keepNext w:val="0"/>
        <w:keepLines w:val="0"/>
        <w:pageBreakBefore w:val="0"/>
        <w:numPr>
          <w:ilvl w:val="0"/>
          <w:numId w:val="0"/>
        </w:numPr>
        <w:tabs>
          <w:tab w:val="left" w:pos="147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第十九条  </w:t>
      </w:r>
      <w:r>
        <w:rPr>
          <w:rFonts w:hint="eastAsia" w:ascii="仿宋_GB2312" w:hAnsi="仿宋_GB2312" w:eastAsia="仿宋_GB2312" w:cs="仿宋_GB2312"/>
          <w:b/>
          <w:bCs/>
          <w:color w:val="auto"/>
          <w:sz w:val="32"/>
          <w:szCs w:val="32"/>
          <w:highlight w:val="none"/>
        </w:rPr>
        <w:t>甲方对该房屋的转让</w:t>
      </w:r>
    </w:p>
    <w:p w14:paraId="10215760">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.1  乙方不可撤销地承诺放弃其作为承租人在租赁期限内对该房屋的优先购买权。乙方该项承诺自本合同签署</w:t>
      </w:r>
      <w:r>
        <w:rPr>
          <w:rFonts w:hint="eastAsia" w:ascii="仿宋_GB2312" w:hAnsi="仿宋_GB2312" w:eastAsia="仿宋_GB2312" w:cs="仿宋_GB2312"/>
          <w:color w:val="auto"/>
          <w:sz w:val="32"/>
          <w:szCs w:val="32"/>
          <w:highlight w:val="none"/>
          <w:lang w:eastAsia="zh-CN"/>
        </w:rPr>
        <w:t>之日起</w:t>
      </w:r>
      <w:r>
        <w:rPr>
          <w:rFonts w:hint="eastAsia" w:ascii="仿宋_GB2312" w:hAnsi="仿宋_GB2312" w:eastAsia="仿宋_GB2312" w:cs="仿宋_GB2312"/>
          <w:color w:val="auto"/>
          <w:sz w:val="32"/>
          <w:szCs w:val="32"/>
          <w:highlight w:val="none"/>
        </w:rPr>
        <w:t>生效，且无需针对该房屋具体转让事宜另行确认。</w:t>
      </w:r>
    </w:p>
    <w:p w14:paraId="02A8B6FE">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.2  如甲方将该房屋向第三方转让并向乙方发出转让的通知，乙方应当按照甲方或该第三方的要求出具确认函，或与甲方、第三方共同签署相关协议，确认其将继续履行本合同并向第三方交纳租金等费用。</w:t>
      </w:r>
    </w:p>
    <w:p w14:paraId="088D1383">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.3  无论乙方是否签署前述确认函或相关协议，只要甲方向乙方发出转让通知，本合同下出租人的权利义务即按照甲方通知转让给受让人，乙方应按照甲方通知的受让人名称、</w:t>
      </w:r>
      <w:r>
        <w:rPr>
          <w:rFonts w:hint="eastAsia" w:ascii="仿宋_GB2312" w:hAnsi="仿宋_GB2312" w:eastAsia="仿宋_GB2312" w:cs="仿宋_GB2312"/>
          <w:color w:val="auto"/>
          <w:sz w:val="32"/>
          <w:szCs w:val="32"/>
          <w:highlight w:val="none"/>
          <w:lang w:eastAsia="zh-CN"/>
        </w:rPr>
        <w:t>账户</w:t>
      </w:r>
      <w:r>
        <w:rPr>
          <w:rFonts w:hint="eastAsia" w:ascii="仿宋_GB2312" w:hAnsi="仿宋_GB2312" w:eastAsia="仿宋_GB2312" w:cs="仿宋_GB2312"/>
          <w:color w:val="auto"/>
          <w:sz w:val="32"/>
          <w:szCs w:val="32"/>
          <w:highlight w:val="none"/>
        </w:rPr>
        <w:t>向受让人支付租金。</w:t>
      </w:r>
    </w:p>
    <w:p w14:paraId="2D3782B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19.4</w:t>
      </w:r>
      <w:r>
        <w:rPr>
          <w:rFonts w:hint="eastAsia" w:ascii="仿宋_GB2312" w:hAnsi="仿宋_GB2312" w:eastAsia="仿宋_GB2312" w:cs="仿宋_GB2312"/>
          <w:color w:val="auto"/>
          <w:sz w:val="32"/>
          <w:szCs w:val="32"/>
          <w:highlight w:val="none"/>
        </w:rPr>
        <w:t xml:space="preserve"> 乙方拒绝或延迟出具上述确认函或签署相关协议，或未按照甲方通知向受让人支付租金的，不影响甲方与第三方有关该房屋转让行为的效力，且由此造成甲方损失的，乙方应当承担赔偿责任。</w:t>
      </w:r>
    </w:p>
    <w:p w14:paraId="431C815F">
      <w:pPr>
        <w:keepNext w:val="0"/>
        <w:keepLines w:val="0"/>
        <w:pageBreakBefore w:val="0"/>
        <w:tabs>
          <w:tab w:val="left" w:pos="147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第二十条  违约责任</w:t>
      </w:r>
    </w:p>
    <w:p w14:paraId="22FAFC3F">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 xml:space="preserve">.1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乙方延迟交纳租金、物业服务费或其他费用，每延迟一日，乙方应当向甲方或物业服务公司支付相当于欠费金额1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的延迟履行违约金；延迟5日仍未足额交纳的，甲方或物业服务公司可以对</w:t>
      </w:r>
      <w:r>
        <w:rPr>
          <w:rFonts w:hint="eastAsia" w:ascii="仿宋_GB2312" w:hAnsi="仿宋_GB2312" w:eastAsia="仿宋_GB2312" w:cs="仿宋_GB2312"/>
          <w:color w:val="auto"/>
          <w:sz w:val="32"/>
          <w:szCs w:val="32"/>
          <w:highlight w:val="none"/>
          <w:lang w:eastAsia="zh-CN"/>
        </w:rPr>
        <w:t>该区块</w:t>
      </w:r>
      <w:r>
        <w:rPr>
          <w:rFonts w:hint="eastAsia" w:ascii="仿宋_GB2312" w:hAnsi="仿宋_GB2312" w:eastAsia="仿宋_GB2312" w:cs="仿宋_GB2312"/>
          <w:color w:val="auto"/>
          <w:sz w:val="32"/>
          <w:szCs w:val="32"/>
          <w:highlight w:val="none"/>
        </w:rPr>
        <w:t>暂停能源供应及物业管理服务，关闭对应入口及通道，且无需因此向乙方或第三方承担任何责任（如第三方因此向甲方或物业服务公司索赔，甲方或物业服务公司有权向乙方追偿）；乙方超过15天未足额交纳欠费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甲方有权单方解除本合同</w:t>
      </w:r>
      <w:r>
        <w:rPr>
          <w:rFonts w:hint="eastAsia" w:ascii="仿宋_GB2312" w:hAnsi="仿宋_GB2312" w:eastAsia="仿宋_GB2312" w:cs="仿宋_GB2312"/>
          <w:color w:val="auto"/>
          <w:sz w:val="32"/>
          <w:szCs w:val="32"/>
          <w:highlight w:val="none"/>
          <w:u w:val="none"/>
          <w:lang w:val="en-US" w:eastAsia="zh-CN"/>
        </w:rPr>
        <w:t>并要求乙方支付合同总金额20%的违约金。</w:t>
      </w:r>
    </w:p>
    <w:p w14:paraId="7461EACF">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双方特别确认，租赁期限内，如乙方延迟交纳租金或物业服务费或公用事业费累计超过3次（含），甲方有权解除本合同</w:t>
      </w:r>
      <w:r>
        <w:rPr>
          <w:rFonts w:hint="eastAsia" w:ascii="仿宋_GB2312" w:hAnsi="仿宋_GB2312" w:eastAsia="仿宋_GB2312" w:cs="仿宋_GB2312"/>
          <w:color w:val="auto"/>
          <w:sz w:val="32"/>
          <w:szCs w:val="32"/>
          <w:highlight w:val="none"/>
          <w:u w:val="none"/>
          <w:lang w:val="en-US" w:eastAsia="zh-CN"/>
        </w:rPr>
        <w:t>并要求乙方支付合同总金额20%的违约金。</w:t>
      </w:r>
    </w:p>
    <w:p w14:paraId="0FF2CF3B">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20.2  </w:t>
      </w:r>
      <w:r>
        <w:rPr>
          <w:rFonts w:hint="eastAsia" w:ascii="仿宋_GB2312" w:hAnsi="仿宋_GB2312" w:eastAsia="仿宋_GB2312" w:cs="仿宋_GB2312"/>
          <w:color w:val="auto"/>
          <w:sz w:val="32"/>
          <w:szCs w:val="32"/>
          <w:highlight w:val="none"/>
        </w:rPr>
        <w:t>因甲方原因（包括</w:t>
      </w:r>
      <w:r>
        <w:rPr>
          <w:rFonts w:hint="eastAsia" w:ascii="仿宋_GB2312" w:hAnsi="仿宋_GB2312" w:eastAsia="仿宋_GB2312" w:cs="仿宋_GB2312"/>
          <w:color w:val="auto"/>
          <w:sz w:val="32"/>
          <w:szCs w:val="32"/>
          <w:highlight w:val="none"/>
          <w:lang w:eastAsia="zh-CN"/>
        </w:rPr>
        <w:t>该区块</w:t>
      </w:r>
      <w:r>
        <w:rPr>
          <w:rFonts w:hint="eastAsia" w:ascii="仿宋_GB2312" w:hAnsi="仿宋_GB2312" w:eastAsia="仿宋_GB2312" w:cs="仿宋_GB2312"/>
          <w:color w:val="auto"/>
          <w:sz w:val="32"/>
          <w:szCs w:val="32"/>
          <w:highlight w:val="none"/>
        </w:rPr>
        <w:t>设定抵押或其他第三方权利等）导致乙方无法继续享有</w:t>
      </w:r>
      <w:r>
        <w:rPr>
          <w:rFonts w:hint="eastAsia" w:ascii="仿宋_GB2312" w:hAnsi="仿宋_GB2312" w:eastAsia="仿宋_GB2312" w:cs="仿宋_GB2312"/>
          <w:color w:val="auto"/>
          <w:sz w:val="32"/>
          <w:szCs w:val="32"/>
          <w:highlight w:val="none"/>
          <w:lang w:eastAsia="zh-CN"/>
        </w:rPr>
        <w:t>该区块</w:t>
      </w:r>
      <w:r>
        <w:rPr>
          <w:rFonts w:hint="eastAsia" w:ascii="仿宋_GB2312" w:hAnsi="仿宋_GB2312" w:eastAsia="仿宋_GB2312" w:cs="仿宋_GB2312"/>
          <w:color w:val="auto"/>
          <w:sz w:val="32"/>
          <w:szCs w:val="32"/>
          <w:highlight w:val="none"/>
        </w:rPr>
        <w:t>使用权，甲方应当在乙方发出书面通知后30日内作出相应改正的积极有效举措，直至完全改正；若经甲方改正，仍无法使乙方继续享有</w:t>
      </w:r>
      <w:r>
        <w:rPr>
          <w:rFonts w:hint="eastAsia" w:ascii="仿宋_GB2312" w:hAnsi="仿宋_GB2312" w:eastAsia="仿宋_GB2312" w:cs="仿宋_GB2312"/>
          <w:color w:val="auto"/>
          <w:sz w:val="32"/>
          <w:szCs w:val="32"/>
          <w:highlight w:val="none"/>
          <w:lang w:eastAsia="zh-CN"/>
        </w:rPr>
        <w:t>该区块</w:t>
      </w:r>
      <w:r>
        <w:rPr>
          <w:rFonts w:hint="eastAsia" w:ascii="仿宋_GB2312" w:hAnsi="仿宋_GB2312" w:eastAsia="仿宋_GB2312" w:cs="仿宋_GB2312"/>
          <w:color w:val="auto"/>
          <w:sz w:val="32"/>
          <w:szCs w:val="32"/>
          <w:highlight w:val="none"/>
        </w:rPr>
        <w:t>使用权，在该期间内，乙方无须</w:t>
      </w:r>
      <w:r>
        <w:rPr>
          <w:rFonts w:hint="eastAsia" w:ascii="仿宋_GB2312" w:hAnsi="仿宋_GB2312" w:eastAsia="仿宋_GB2312" w:cs="仿宋_GB2312"/>
          <w:color w:val="auto"/>
          <w:sz w:val="32"/>
          <w:szCs w:val="32"/>
          <w:highlight w:val="none"/>
          <w:lang w:eastAsia="zh-CN"/>
        </w:rPr>
        <w:t>缴纳</w:t>
      </w:r>
      <w:r>
        <w:rPr>
          <w:rFonts w:hint="eastAsia" w:ascii="仿宋_GB2312" w:hAnsi="仿宋_GB2312" w:eastAsia="仿宋_GB2312" w:cs="仿宋_GB2312"/>
          <w:color w:val="auto"/>
          <w:sz w:val="32"/>
          <w:szCs w:val="32"/>
          <w:highlight w:val="none"/>
        </w:rPr>
        <w:t>租金、物业服务费。</w:t>
      </w:r>
    </w:p>
    <w:p w14:paraId="2889868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  本合同因乙方违约而提前终止的，</w:t>
      </w:r>
      <w:r>
        <w:rPr>
          <w:rFonts w:hint="eastAsia" w:ascii="仿宋_GB2312" w:hAnsi="仿宋_GB2312" w:eastAsia="仿宋_GB2312" w:cs="仿宋_GB2312"/>
          <w:color w:val="auto"/>
          <w:sz w:val="32"/>
          <w:szCs w:val="32"/>
          <w:highlight w:val="none"/>
          <w:lang w:val="en-US" w:eastAsia="zh-CN"/>
        </w:rPr>
        <w:t>乙方应向甲方支付合同总金额20%的违约金，</w:t>
      </w:r>
      <w:r>
        <w:rPr>
          <w:rFonts w:hint="eastAsia" w:ascii="仿宋_GB2312" w:hAnsi="仿宋_GB2312" w:eastAsia="仿宋_GB2312" w:cs="仿宋_GB2312"/>
          <w:color w:val="auto"/>
          <w:sz w:val="32"/>
          <w:szCs w:val="32"/>
          <w:highlight w:val="none"/>
        </w:rPr>
        <w:t>乙方自行承担合同提前终止产生的全部损失，且乙方应承担的其他</w:t>
      </w:r>
      <w:r>
        <w:rPr>
          <w:rFonts w:hint="eastAsia" w:ascii="仿宋_GB2312" w:hAnsi="仿宋_GB2312" w:eastAsia="仿宋_GB2312" w:cs="仿宋_GB2312"/>
          <w:color w:val="auto"/>
          <w:sz w:val="32"/>
          <w:szCs w:val="32"/>
          <w:highlight w:val="none"/>
          <w:lang w:val="zh-CN"/>
        </w:rPr>
        <w:t>违约责任并不免除</w:t>
      </w:r>
      <w:r>
        <w:rPr>
          <w:rFonts w:hint="eastAsia" w:ascii="仿宋_GB2312" w:hAnsi="仿宋_GB2312" w:eastAsia="仿宋_GB2312" w:cs="仿宋_GB2312"/>
          <w:color w:val="auto"/>
          <w:sz w:val="32"/>
          <w:szCs w:val="32"/>
          <w:highlight w:val="none"/>
        </w:rPr>
        <w:t>。</w:t>
      </w:r>
    </w:p>
    <w:p w14:paraId="7AB06231">
      <w:pPr>
        <w:keepNext w:val="0"/>
        <w:keepLines w:val="0"/>
        <w:pageBreakBefore w:val="0"/>
        <w:kinsoku/>
        <w:wordWrap/>
        <w:overflowPunct/>
        <w:topLinePunct w:val="0"/>
        <w:bidi w:val="0"/>
        <w:adjustRightInd/>
        <w:snapToGrid/>
        <w:spacing w:line="460" w:lineRule="exact"/>
        <w:ind w:firstLine="640" w:firstLineChars="200"/>
        <w:contextualSpacing/>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  经甲、乙双方协商一致，乙方可提前90日书面通知甲方并足额交纳租金等费用后解除本合同，</w:t>
      </w:r>
      <w:r>
        <w:rPr>
          <w:rFonts w:hint="eastAsia" w:ascii="仿宋_GB2312" w:hAnsi="仿宋_GB2312" w:eastAsia="仿宋_GB2312" w:cs="仿宋_GB2312"/>
          <w:color w:val="auto"/>
          <w:sz w:val="32"/>
          <w:szCs w:val="32"/>
          <w:highlight w:val="none"/>
          <w:lang w:eastAsia="zh-CN"/>
        </w:rPr>
        <w:t>履约抵押金</w:t>
      </w:r>
      <w:r>
        <w:rPr>
          <w:rFonts w:hint="eastAsia" w:ascii="仿宋_GB2312" w:hAnsi="仿宋_GB2312" w:eastAsia="仿宋_GB2312" w:cs="仿宋_GB2312"/>
          <w:color w:val="auto"/>
          <w:sz w:val="32"/>
          <w:szCs w:val="32"/>
          <w:highlight w:val="none"/>
        </w:rPr>
        <w:t>不予返还。</w:t>
      </w:r>
    </w:p>
    <w:p w14:paraId="1E3D2632">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20.5  </w:t>
      </w:r>
      <w:r>
        <w:rPr>
          <w:rFonts w:hint="eastAsia" w:ascii="仿宋_GB2312" w:hAnsi="仿宋_GB2312" w:eastAsia="仿宋_GB2312" w:cs="仿宋_GB2312"/>
          <w:color w:val="auto"/>
          <w:sz w:val="32"/>
          <w:szCs w:val="32"/>
          <w:highlight w:val="none"/>
        </w:rPr>
        <w:t>若乙方在合同履约过程中造成甲方损失，乙方应承担全部损失并向甲方支付损失金额30%的违约金。</w:t>
      </w:r>
    </w:p>
    <w:p w14:paraId="32F30410">
      <w:pPr>
        <w:keepNext w:val="0"/>
        <w:keepLines w:val="0"/>
        <w:pageBreakBefore w:val="0"/>
        <w:widowControl/>
        <w:kinsoku/>
        <w:wordWrap/>
        <w:overflowPunct/>
        <w:topLinePunct w:val="0"/>
        <w:autoSpaceDE/>
        <w:autoSpaceDN/>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20.6  本合同约定的违约金可以累加计算。乙方应当按照甲方要求的时间确认在履约过程中产生的各种违约金、赔偿金，并以电汇的形式支付至甲方指定账户，否则甲方有权从履约抵押金中扣除，</w:t>
      </w:r>
      <w:r>
        <w:rPr>
          <w:rFonts w:hint="eastAsia" w:ascii="仿宋_GB2312" w:hAnsi="仿宋_GB2312" w:eastAsia="仿宋_GB2312" w:cs="仿宋_GB2312"/>
          <w:b w:val="0"/>
          <w:bCs w:val="0"/>
          <w:color w:val="auto"/>
          <w:sz w:val="32"/>
          <w:szCs w:val="32"/>
          <w:highlight w:val="none"/>
        </w:rPr>
        <w:t>不足部分，甲方依法享有向乙方追索的权利</w:t>
      </w:r>
      <w:r>
        <w:rPr>
          <w:rFonts w:hint="eastAsia" w:ascii="仿宋_GB2312" w:hAnsi="仿宋_GB2312" w:eastAsia="仿宋_GB2312" w:cs="仿宋_GB2312"/>
          <w:color w:val="auto"/>
          <w:sz w:val="32"/>
          <w:szCs w:val="32"/>
          <w:highlight w:val="none"/>
          <w:lang w:val="en-US" w:eastAsia="zh-CN"/>
        </w:rPr>
        <w:t>。</w:t>
      </w:r>
    </w:p>
    <w:p w14:paraId="16C9811B">
      <w:pPr>
        <w:keepNext w:val="0"/>
        <w:keepLines w:val="0"/>
        <w:pageBreakBefore w:val="0"/>
        <w:widowControl/>
        <w:kinsoku/>
        <w:wordWrap/>
        <w:overflowPunct/>
        <w:topLinePunct w:val="0"/>
        <w:autoSpaceDE/>
        <w:autoSpaceDN/>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20.7  本合同生效之后，如乙方存在违约情形，除了应当承担违约责任支付违约金之外，还应当承担甲方主张权益的一切费用，包括但不限于律师费、诉讼费、公证费、保全费、保全保险费等。</w:t>
      </w:r>
    </w:p>
    <w:p w14:paraId="7259A888">
      <w:pPr>
        <w:keepNext w:val="0"/>
        <w:keepLines w:val="0"/>
        <w:pageBreakBefore w:val="0"/>
        <w:numPr>
          <w:ilvl w:val="-1"/>
          <w:numId w:val="0"/>
        </w:numPr>
        <w:tabs>
          <w:tab w:val="left" w:pos="147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第二十一条 </w:t>
      </w:r>
      <w:r>
        <w:rPr>
          <w:rFonts w:hint="eastAsia" w:ascii="仿宋_GB2312" w:hAnsi="仿宋_GB2312" w:eastAsia="仿宋_GB2312" w:cs="仿宋_GB2312"/>
          <w:b/>
          <w:bCs/>
          <w:color w:val="auto"/>
          <w:sz w:val="32"/>
          <w:szCs w:val="32"/>
          <w:highlight w:val="none"/>
        </w:rPr>
        <w:t>续租</w:t>
      </w:r>
    </w:p>
    <w:p w14:paraId="4392C119">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租赁期限届满前，</w:t>
      </w:r>
      <w:r>
        <w:rPr>
          <w:rFonts w:hint="eastAsia" w:ascii="仿宋_GB2312" w:hAnsi="仿宋_GB2312" w:eastAsia="仿宋_GB2312" w:cs="仿宋_GB2312"/>
          <w:color w:val="auto"/>
          <w:sz w:val="32"/>
          <w:szCs w:val="32"/>
          <w:highlight w:val="none"/>
          <w:lang w:val="en-US" w:eastAsia="zh-CN"/>
        </w:rPr>
        <w:t>乙方拥有同等条件下优先续约权。</w:t>
      </w:r>
      <w:r>
        <w:rPr>
          <w:rFonts w:hint="eastAsia" w:ascii="仿宋_GB2312" w:hAnsi="仿宋_GB2312" w:eastAsia="仿宋_GB2312" w:cs="仿宋_GB2312"/>
          <w:color w:val="auto"/>
          <w:sz w:val="32"/>
          <w:szCs w:val="32"/>
          <w:highlight w:val="none"/>
        </w:rPr>
        <w:t>如双方协商续租，则最迟应当在租赁期限届满之日90日前按照甲方新的租赁政策及租金标准签署新的租赁合同或续租协议。逾期未能签署新的租赁合同或续租协议的，甲方有权将该房屋另行出租。</w:t>
      </w:r>
    </w:p>
    <w:p w14:paraId="0AF8848A">
      <w:pPr>
        <w:keepNext w:val="0"/>
        <w:keepLines w:val="0"/>
        <w:pageBreakBefore w:val="0"/>
        <w:numPr>
          <w:ilvl w:val="-1"/>
          <w:numId w:val="0"/>
        </w:numPr>
        <w:tabs>
          <w:tab w:val="left" w:pos="147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第二十二条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bCs/>
          <w:color w:val="auto"/>
          <w:sz w:val="32"/>
          <w:szCs w:val="32"/>
          <w:highlight w:val="none"/>
        </w:rPr>
        <w:t>房屋交还</w:t>
      </w:r>
    </w:p>
    <w:p w14:paraId="51A64C9A">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.1  乙方应于交还日向甲方归还所有甲方向乙方提供的物业管理和工程资料（如有）的全部原件和复印件，并使该房屋恢复至符合交付时状况，经甲方验收确认符合约定后，交还给甲方。乙方装修及恢复所发生的一切费用由乙方承担，且不得因本协议终止要求甲方承担上述费用。</w:t>
      </w:r>
    </w:p>
    <w:p w14:paraId="7D1B92E6">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如乙方未将房屋恢复</w:t>
      </w:r>
      <w:r>
        <w:rPr>
          <w:rFonts w:hint="eastAsia" w:ascii="仿宋_GB2312" w:hAnsi="仿宋_GB2312" w:eastAsia="仿宋_GB2312" w:cs="仿宋_GB2312"/>
          <w:color w:val="auto"/>
          <w:sz w:val="32"/>
          <w:szCs w:val="32"/>
          <w:highlight w:val="none"/>
          <w:lang w:val="en-US" w:eastAsia="zh-CN"/>
        </w:rPr>
        <w:t>原状（见附件5）</w:t>
      </w:r>
      <w:r>
        <w:rPr>
          <w:rFonts w:hint="eastAsia" w:ascii="仿宋_GB2312" w:hAnsi="仿宋_GB2312" w:eastAsia="仿宋_GB2312" w:cs="仿宋_GB2312"/>
          <w:color w:val="auto"/>
          <w:sz w:val="32"/>
          <w:szCs w:val="32"/>
          <w:highlight w:val="none"/>
        </w:rPr>
        <w:t>，视为乙方放弃房屋内的装修装饰物品的所有权，甲方有权自行恢复或者委托第三方恢复，由此产生的费用由乙方承担。</w:t>
      </w:r>
    </w:p>
    <w:p w14:paraId="4FDAF58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.2  无论任何原因，交还日后乙方仍未能将该房屋按约定条件交还甲方的，则自交还日次日起，乙方应当按照合同终止时该房屋租金标准的200%向甲方支付占用费，并按照合同终止时该房屋物业服务费标准的100%向物业服务公司支付物业服务费及承担相关公用事业费，直至乙方按照合同要求交还该房屋为止。</w:t>
      </w:r>
    </w:p>
    <w:p w14:paraId="462F1B5D">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本项前述情况下，甲方或物业服务公司有权自交还日次日起，对该房屋采取停止水、电等供应，控制人员进出，阻止乙方继续经营等强制措施，且乙方应承担的占用费、物业服务费及公用事业费不因此而得到减免。</w:t>
      </w:r>
    </w:p>
    <w:p w14:paraId="0D8C28D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.3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乙方按约定向甲方交还该房屋时，甲、乙双方应签署房屋交还确认书。如双方签署了房屋交还确认书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届时乙方在该房屋内遗留的任何装饰装修、设施设备、物品等均视为乙方放弃所有权及一切权利，甲方有权自行处置。如有损失，乙方自行承担，甲方无需赔偿。</w:t>
      </w:r>
    </w:p>
    <w:p w14:paraId="77A9E004">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.4  如乙方未办理交还手续而撤离该房屋</w:t>
      </w:r>
      <w:r>
        <w:rPr>
          <w:rFonts w:hint="eastAsia" w:ascii="仿宋_GB2312" w:hAnsi="仿宋_GB2312" w:eastAsia="仿宋_GB2312" w:cs="仿宋_GB2312"/>
          <w:color w:val="auto"/>
          <w:sz w:val="32"/>
          <w:szCs w:val="32"/>
          <w:highlight w:val="none"/>
          <w:lang w:val="en-US" w:eastAsia="zh-CN"/>
        </w:rPr>
        <w:t>超过7日</w:t>
      </w:r>
      <w:r>
        <w:rPr>
          <w:rFonts w:hint="eastAsia" w:ascii="仿宋_GB2312" w:hAnsi="仿宋_GB2312" w:eastAsia="仿宋_GB2312" w:cs="仿宋_GB2312"/>
          <w:color w:val="auto"/>
          <w:sz w:val="32"/>
          <w:szCs w:val="32"/>
          <w:highlight w:val="none"/>
        </w:rPr>
        <w:t>，甲方对乙方撤离后该房屋进行清理、整改或对有关设施设备进行维修、更换等使之符合约定交还条件的，因此发生的费用应由乙方承担，且上述清理、维修期间，乙方仍应承担按合同终止时该房屋租金标准承担占用费，以弥补甲方此期间租金损失。</w:t>
      </w:r>
    </w:p>
    <w:p w14:paraId="6E58DD79">
      <w:pPr>
        <w:keepNext w:val="0"/>
        <w:keepLines w:val="0"/>
        <w:pageBreakBefore w:val="0"/>
        <w:numPr>
          <w:ilvl w:val="0"/>
          <w:numId w:val="2"/>
        </w:numPr>
        <w:tabs>
          <w:tab w:val="left" w:pos="1470"/>
        </w:tabs>
        <w:kinsoku/>
        <w:wordWrap/>
        <w:overflowPunct/>
        <w:topLinePunct w:val="0"/>
        <w:bidi w:val="0"/>
        <w:adjustRightInd/>
        <w:snapToGrid/>
        <w:spacing w:line="460" w:lineRule="exact"/>
        <w:ind w:left="0" w:firstLine="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不可抗力</w:t>
      </w:r>
    </w:p>
    <w:p w14:paraId="64BC6778">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  如果任何一方由于不可抗力而未能履行其在本合同项下的义务，该方应无需就另一方的损失向其承担任何责任，但因一方不采取适当措施致使损失扩大的，该方应当承担相应责任。</w:t>
      </w:r>
    </w:p>
    <w:p w14:paraId="6BF9FC2C">
      <w:pPr>
        <w:keepNext w:val="0"/>
        <w:keepLines w:val="0"/>
        <w:pageBreakBefore w:val="0"/>
        <w:kinsoku/>
        <w:wordWrap/>
        <w:overflowPunct/>
        <w:topLinePunct w:val="0"/>
        <w:bidi w:val="0"/>
        <w:adjustRightInd/>
        <w:snapToGrid/>
        <w:spacing w:line="460" w:lineRule="exact"/>
        <w:ind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受任何不可抗力事件影响的一方应立即将不可抗力事件书面通知对方，提供该等不可抗力事件的情况描述和政府有关部门出具的证明。</w:t>
      </w:r>
    </w:p>
    <w:p w14:paraId="0627F637">
      <w:pPr>
        <w:keepNext w:val="0"/>
        <w:keepLines w:val="0"/>
        <w:pageBreakBefore w:val="0"/>
        <w:numPr>
          <w:ilvl w:val="0"/>
          <w:numId w:val="2"/>
        </w:numPr>
        <w:tabs>
          <w:tab w:val="left" w:pos="1470"/>
        </w:tabs>
        <w:kinsoku/>
        <w:wordWrap/>
        <w:overflowPunct/>
        <w:topLinePunct w:val="0"/>
        <w:bidi w:val="0"/>
        <w:adjustRightInd/>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通知</w:t>
      </w:r>
    </w:p>
    <w:p w14:paraId="56759E9A">
      <w:pPr>
        <w:keepNext w:val="0"/>
        <w:keepLines w:val="0"/>
        <w:pageBreakBefore w:val="0"/>
        <w:numPr>
          <w:ilvl w:val="-1"/>
          <w:numId w:val="0"/>
        </w:numPr>
        <w:kinsoku/>
        <w:wordWrap/>
        <w:overflowPunct/>
        <w:topLinePunct w:val="0"/>
        <w:bidi w:val="0"/>
        <w:adjustRightInd/>
        <w:snapToGrid/>
        <w:spacing w:line="44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24.1</w:t>
      </w:r>
      <w:r>
        <w:rPr>
          <w:rFonts w:hint="eastAsia" w:ascii="仿宋_GB2312" w:hAnsi="仿宋_GB2312" w:eastAsia="仿宋_GB2312" w:cs="仿宋_GB2312"/>
          <w:color w:val="auto"/>
          <w:sz w:val="32"/>
          <w:szCs w:val="32"/>
          <w:highlight w:val="none"/>
        </w:rPr>
        <w:t>甲方和乙方按以下列明的地址发送通知：</w:t>
      </w:r>
    </w:p>
    <w:p w14:paraId="211272DF">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甲方地址：</w:t>
      </w:r>
    </w:p>
    <w:p w14:paraId="558388AC">
      <w:pPr>
        <w:keepNext w:val="0"/>
        <w:keepLines w:val="0"/>
        <w:pageBreakBefore w:val="0"/>
        <w:widowControl/>
        <w:kinsoku/>
        <w:wordWrap/>
        <w:overflowPunct/>
        <w:topLinePunct w:val="0"/>
        <w:autoSpaceDE w:val="0"/>
        <w:autoSpaceDN w:val="0"/>
        <w:bidi w:val="0"/>
        <w:adjustRightInd/>
        <w:snapToGrid/>
        <w:spacing w:line="440" w:lineRule="exact"/>
        <w:contextualSpacing/>
        <w:textAlignment w:val="top"/>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收 件 人：   </w:t>
      </w:r>
    </w:p>
    <w:p w14:paraId="09DEDF7F">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color w:val="auto"/>
          <w:sz w:val="32"/>
          <w:szCs w:val="32"/>
          <w:highlight w:val="none"/>
        </w:rPr>
        <w:t xml:space="preserve"> </w:t>
      </w:r>
    </w:p>
    <w:p w14:paraId="3507B366">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乙方地址：</w:t>
      </w:r>
    </w:p>
    <w:p w14:paraId="2DC7DEA7">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收 件 人：  </w:t>
      </w:r>
    </w:p>
    <w:p w14:paraId="55B76762">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联系电话：</w:t>
      </w:r>
    </w:p>
    <w:p w14:paraId="019BCE77">
      <w:pPr>
        <w:keepNext w:val="0"/>
        <w:keepLines w:val="0"/>
        <w:pageBreakBefore w:val="0"/>
        <w:widowControl/>
        <w:kinsoku/>
        <w:wordWrap/>
        <w:overflowPunct/>
        <w:topLinePunct w:val="0"/>
        <w:autoSpaceDE w:val="0"/>
        <w:autoSpaceDN w:val="0"/>
        <w:bidi w:val="0"/>
        <w:adjustRightInd/>
        <w:snapToGrid/>
        <w:spacing w:line="44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传    真： </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   </w:t>
      </w:r>
    </w:p>
    <w:p w14:paraId="4D8FEA23">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24.2</w:t>
      </w:r>
      <w:r>
        <w:rPr>
          <w:rFonts w:hint="eastAsia" w:ascii="仿宋_GB2312" w:hAnsi="仿宋_GB2312" w:eastAsia="仿宋_GB2312" w:cs="仿宋_GB2312"/>
          <w:color w:val="auto"/>
          <w:sz w:val="32"/>
          <w:szCs w:val="32"/>
          <w:highlight w:val="none"/>
        </w:rPr>
        <w:t>一方若指定其他地址或地址变更，须及时以书面形式通知另一方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怠于通知的一方应当承担对其不利的法律后果。通知可以专人手递方式、邮递（EMS）、特快专递方式及挂号信方式。以专人手递方式发出的，发至指定地址之日视为收悉日；以邮递（EMS）发出的通知，应在寄出日（以邮戳为准）后第5日视为有效送达；以特快专递方式发出的，以通知交予特快专递公司后第7日为收悉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以挂号信方式发出的，以寄信回执作为发送凭证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通知送达对方之日依据发送凭证记载时间确定。</w:t>
      </w:r>
    </w:p>
    <w:p w14:paraId="2A8E0403">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24.3</w:t>
      </w:r>
      <w:r>
        <w:rPr>
          <w:rFonts w:hint="eastAsia" w:ascii="仿宋_GB2312" w:hAnsi="仿宋_GB2312" w:eastAsia="仿宋_GB2312" w:cs="仿宋_GB2312"/>
          <w:color w:val="auto"/>
          <w:sz w:val="32"/>
          <w:szCs w:val="32"/>
          <w:highlight w:val="none"/>
        </w:rPr>
        <w:t>乙方确认，租赁期限内，该房屋是乙方的有效通知地址。甲方或物业服务公司有权选择将本合同项下的通知张贴于该房屋的门窗或墙面上，该等通知一经张贴即视为已经向乙方送达通知，乙方于通知张贴当日知悉通知内容。</w:t>
      </w:r>
    </w:p>
    <w:p w14:paraId="2DD53C78">
      <w:pPr>
        <w:keepNext w:val="0"/>
        <w:keepLines w:val="0"/>
        <w:pageBreakBefore w:val="0"/>
        <w:kinsoku/>
        <w:wordWrap/>
        <w:overflowPunct/>
        <w:topLinePunct w:val="0"/>
        <w:bidi w:val="0"/>
        <w:adjustRightInd/>
        <w:snapToGrid/>
        <w:spacing w:line="4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24.4</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主体如有变更，应征得甲方书面同意，且乙方对变合同后的合同主体就本合同项下的义务向甲方承担连带责任。</w:t>
      </w:r>
    </w:p>
    <w:p w14:paraId="07F89E0E">
      <w:pPr>
        <w:pStyle w:val="17"/>
        <w:keepNext w:val="0"/>
        <w:keepLines w:val="0"/>
        <w:pageBreakBefore w:val="0"/>
        <w:numPr>
          <w:ilvl w:val="-1"/>
          <w:numId w:val="0"/>
        </w:numPr>
        <w:kinsoku/>
        <w:wordWrap/>
        <w:overflowPunct/>
        <w:topLinePunct w:val="0"/>
        <w:bidi w:val="0"/>
        <w:adjustRightInd/>
        <w:snapToGrid/>
        <w:spacing w:line="460" w:lineRule="exact"/>
        <w:ind w:left="0" w:firstLine="0" w:firstLineChars="0"/>
        <w:contextualSpacing/>
        <w:jc w:val="both"/>
        <w:textAlignment w:val="top"/>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第二十五条 争议解决</w:t>
      </w:r>
    </w:p>
    <w:p w14:paraId="25A19611">
      <w:pPr>
        <w:pStyle w:val="17"/>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甲、</w:t>
      </w:r>
      <w:r>
        <w:rPr>
          <w:rFonts w:hint="eastAsia" w:ascii="仿宋_GB2312" w:hAnsi="仿宋_GB2312" w:eastAsia="仿宋_GB2312" w:cs="仿宋_GB2312"/>
          <w:color w:val="auto"/>
          <w:sz w:val="32"/>
          <w:szCs w:val="32"/>
          <w:highlight w:val="none"/>
        </w:rPr>
        <w:t>乙双方在本合同项下产生争议，应当友好协商解决；协商不成的，任一方均有权向该房屋所在地有管辖权的人民法院起诉。</w:t>
      </w:r>
    </w:p>
    <w:p w14:paraId="358D7947">
      <w:pPr>
        <w:keepNext w:val="0"/>
        <w:keepLines w:val="0"/>
        <w:pageBreakBefore w:val="0"/>
        <w:numPr>
          <w:ilvl w:val="-1"/>
          <w:numId w:val="0"/>
        </w:numPr>
        <w:tabs>
          <w:tab w:val="left" w:pos="1680"/>
        </w:tabs>
        <w:kinsoku/>
        <w:wordWrap/>
        <w:overflowPunct/>
        <w:topLinePunct w:val="0"/>
        <w:bidi w:val="0"/>
        <w:adjustRightInd/>
        <w:snapToGrid/>
        <w:spacing w:line="460" w:lineRule="exact"/>
        <w:ind w:left="0" w:firstLine="0"/>
        <w:contextualSpacing/>
        <w:jc w:val="both"/>
        <w:textAlignment w:val="top"/>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第二十六条 </w:t>
      </w:r>
      <w:r>
        <w:rPr>
          <w:rFonts w:hint="eastAsia" w:ascii="仿宋_GB2312" w:hAnsi="仿宋_GB2312" w:eastAsia="仿宋_GB2312" w:cs="仿宋_GB2312"/>
          <w:b/>
          <w:bCs/>
          <w:color w:val="auto"/>
          <w:sz w:val="32"/>
          <w:szCs w:val="32"/>
          <w:highlight w:val="none"/>
        </w:rPr>
        <w:t>其他</w:t>
      </w:r>
    </w:p>
    <w:p w14:paraId="0B48139A">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26.1</w:t>
      </w:r>
      <w:r>
        <w:rPr>
          <w:rFonts w:hint="eastAsia" w:ascii="仿宋_GB2312" w:hAnsi="仿宋_GB2312" w:eastAsia="仿宋_GB2312" w:cs="仿宋_GB2312"/>
          <w:color w:val="auto"/>
          <w:sz w:val="32"/>
          <w:szCs w:val="32"/>
        </w:rPr>
        <w:t>甲方保留对</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项目和该房屋所在区域的命名权，有权随时更改</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项目和该房屋所在区域的名称、商号，而不因此对乙方或第三方做出任何解释或赔偿</w:t>
      </w:r>
      <w:r>
        <w:rPr>
          <w:rFonts w:hint="eastAsia" w:ascii="仿宋_GB2312" w:hAnsi="仿宋_GB2312" w:eastAsia="仿宋_GB2312" w:cs="仿宋_GB2312"/>
          <w:color w:val="auto"/>
          <w:sz w:val="32"/>
          <w:szCs w:val="32"/>
          <w:lang w:eastAsia="zh-CN"/>
        </w:rPr>
        <w:t>。</w:t>
      </w:r>
    </w:p>
    <w:p w14:paraId="6B33DD98">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26.2</w:t>
      </w:r>
      <w:r>
        <w:rPr>
          <w:rFonts w:hint="eastAsia" w:ascii="仿宋_GB2312" w:hAnsi="仿宋_GB2312" w:eastAsia="仿宋_GB2312" w:cs="仿宋_GB2312"/>
          <w:color w:val="auto"/>
          <w:sz w:val="32"/>
          <w:szCs w:val="32"/>
        </w:rPr>
        <w:t>甲、乙双方特别确认，无论甲方是否取得该房屋的房产证或租赁许可证或办理完毕本合同登记备案手续，乙方在本合同项下租金等交费义务均不受影响。</w:t>
      </w:r>
    </w:p>
    <w:p w14:paraId="4AF5650D">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eastAsia="zh-CN"/>
        </w:rPr>
        <w:t>26.3</w:t>
      </w:r>
      <w:r>
        <w:rPr>
          <w:rFonts w:hint="eastAsia" w:ascii="仿宋_GB2312" w:hAnsi="仿宋_GB2312" w:eastAsia="仿宋_GB2312" w:cs="仿宋_GB2312"/>
          <w:color w:val="auto"/>
          <w:sz w:val="32"/>
          <w:szCs w:val="32"/>
        </w:rPr>
        <w:t>甲、乙双方基于本合同形成租赁合同关系，不产生任何代理、联营或合伙等其他关系，甲方对乙方实际经营状况不承担任何责任。</w:t>
      </w:r>
    </w:p>
    <w:p w14:paraId="24788FF7">
      <w:pPr>
        <w:keepNext w:val="0"/>
        <w:keepLines w:val="0"/>
        <w:pageBreakBefore w:val="0"/>
        <w:numPr>
          <w:ilvl w:val="-1"/>
          <w:numId w:val="0"/>
        </w:numPr>
        <w:kinsoku/>
        <w:wordWrap/>
        <w:overflowPunct/>
        <w:topLinePunct w:val="0"/>
        <w:bidi w:val="0"/>
        <w:adjustRightInd/>
        <w:snapToGrid/>
        <w:spacing w:line="460" w:lineRule="exact"/>
        <w:ind w:left="0" w:firstLine="640" w:firstLineChars="200"/>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26.4</w:t>
      </w:r>
      <w:r>
        <w:rPr>
          <w:rFonts w:hint="eastAsia" w:ascii="仿宋_GB2312" w:hAnsi="仿宋_GB2312" w:eastAsia="仿宋_GB2312" w:cs="仿宋_GB2312"/>
          <w:color w:val="auto"/>
          <w:sz w:val="32"/>
          <w:szCs w:val="32"/>
          <w:highlight w:val="none"/>
        </w:rPr>
        <w:t>本合同自双方</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eastAsia="仿宋_GB2312" w:cs="仿宋_GB2312"/>
          <w:color w:val="auto"/>
          <w:sz w:val="32"/>
          <w:szCs w:val="32"/>
          <w:highlight w:val="none"/>
        </w:rPr>
        <w:t>（乙方为自然人的，乙方应采用签字</w:t>
      </w:r>
      <w:r>
        <w:rPr>
          <w:rFonts w:hint="eastAsia" w:ascii="仿宋_GB2312" w:hAnsi="仿宋_GB2312" w:eastAsia="仿宋_GB2312" w:cs="仿宋_GB2312"/>
          <w:color w:val="auto"/>
          <w:sz w:val="32"/>
          <w:szCs w:val="32"/>
          <w:highlight w:val="none"/>
          <w:lang w:val="en-US" w:eastAsia="zh-CN"/>
        </w:rPr>
        <w:t>捺印</w:t>
      </w:r>
      <w:r>
        <w:rPr>
          <w:rFonts w:hint="eastAsia" w:ascii="仿宋_GB2312" w:hAnsi="仿宋_GB2312" w:eastAsia="仿宋_GB2312" w:cs="仿宋_GB2312"/>
          <w:color w:val="auto"/>
          <w:sz w:val="32"/>
          <w:szCs w:val="32"/>
          <w:highlight w:val="none"/>
        </w:rPr>
        <w:t>方式确认）之日起生效。本合同</w:t>
      </w:r>
      <w:r>
        <w:rPr>
          <w:rFonts w:hint="eastAsia" w:ascii="仿宋_GB2312" w:hAnsi="仿宋_GB2312" w:eastAsia="仿宋_GB2312" w:cs="仿宋_GB2312"/>
          <w:color w:val="auto"/>
          <w:sz w:val="32"/>
          <w:szCs w:val="32"/>
          <w:highlight w:val="none"/>
          <w:lang w:val="en-US" w:eastAsia="zh-CN"/>
        </w:rPr>
        <w:t>壹</w:t>
      </w:r>
      <w:r>
        <w:rPr>
          <w:rFonts w:hint="eastAsia" w:ascii="仿宋_GB2312" w:hAnsi="仿宋_GB2312" w:eastAsia="仿宋_GB2312" w:cs="仿宋_GB2312"/>
          <w:color w:val="auto"/>
          <w:sz w:val="32"/>
          <w:szCs w:val="32"/>
          <w:highlight w:val="none"/>
        </w:rPr>
        <w:t>式</w:t>
      </w:r>
      <w:r>
        <w:rPr>
          <w:rFonts w:hint="eastAsia" w:ascii="仿宋_GB2312" w:hAnsi="仿宋_GB2312" w:eastAsia="仿宋_GB2312" w:cs="仿宋_GB2312"/>
          <w:color w:val="auto"/>
          <w:sz w:val="32"/>
          <w:szCs w:val="32"/>
          <w:highlight w:val="none"/>
          <w:lang w:val="en-US" w:eastAsia="zh-CN"/>
        </w:rPr>
        <w:t>伍</w:t>
      </w:r>
      <w:r>
        <w:rPr>
          <w:rFonts w:hint="eastAsia" w:ascii="仿宋_GB2312" w:hAnsi="仿宋_GB2312" w:eastAsia="仿宋_GB2312" w:cs="仿宋_GB2312"/>
          <w:color w:val="auto"/>
          <w:sz w:val="32"/>
          <w:szCs w:val="32"/>
          <w:highlight w:val="none"/>
        </w:rPr>
        <w:t>份，甲方</w:t>
      </w:r>
      <w:r>
        <w:rPr>
          <w:rFonts w:hint="eastAsia" w:ascii="仿宋_GB2312" w:hAnsi="仿宋_GB2312" w:eastAsia="仿宋_GB2312" w:cs="仿宋_GB2312"/>
          <w:color w:val="auto"/>
          <w:sz w:val="32"/>
          <w:szCs w:val="32"/>
          <w:highlight w:val="none"/>
          <w:lang w:val="en-US" w:eastAsia="zh-CN"/>
        </w:rPr>
        <w:t>肆</w:t>
      </w:r>
      <w:r>
        <w:rPr>
          <w:rFonts w:hint="eastAsia" w:ascii="仿宋_GB2312" w:hAnsi="仿宋_GB2312" w:eastAsia="仿宋_GB2312" w:cs="仿宋_GB2312"/>
          <w:color w:val="auto"/>
          <w:sz w:val="32"/>
          <w:szCs w:val="32"/>
          <w:highlight w:val="none"/>
        </w:rPr>
        <w:t>份、乙方</w:t>
      </w:r>
      <w:r>
        <w:rPr>
          <w:rFonts w:hint="eastAsia" w:ascii="仿宋_GB2312" w:hAnsi="仿宋_GB2312" w:eastAsia="仿宋_GB2312" w:cs="仿宋_GB2312"/>
          <w:color w:val="auto"/>
          <w:sz w:val="32"/>
          <w:szCs w:val="32"/>
          <w:highlight w:val="none"/>
          <w:lang w:val="en-US" w:eastAsia="zh-CN"/>
        </w:rPr>
        <w:t>壹</w:t>
      </w:r>
      <w:r>
        <w:rPr>
          <w:rFonts w:hint="eastAsia" w:ascii="仿宋_GB2312" w:hAnsi="仿宋_GB2312" w:eastAsia="仿宋_GB2312" w:cs="仿宋_GB2312"/>
          <w:color w:val="auto"/>
          <w:sz w:val="32"/>
          <w:szCs w:val="32"/>
          <w:highlight w:val="none"/>
        </w:rPr>
        <w:t>份，具有同等法律效力。本合同附件构成合同的一部分，与本合同正文具有同等法律效力。</w:t>
      </w:r>
    </w:p>
    <w:p w14:paraId="6AD0D3A2">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p>
    <w:p w14:paraId="2BCF77FD">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（以下无正文）</w:t>
      </w:r>
    </w:p>
    <w:p w14:paraId="203AD1E5">
      <w:pPr>
        <w:keepNext w:val="0"/>
        <w:keepLines w:val="0"/>
        <w:pageBreakBefore w:val="0"/>
        <w:tabs>
          <w:tab w:val="left" w:pos="84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商铺位置示意图</w:t>
      </w:r>
    </w:p>
    <w:p w14:paraId="2E89DFD0">
      <w:pPr>
        <w:keepNext w:val="0"/>
        <w:keepLines w:val="0"/>
        <w:pageBreakBefore w:val="0"/>
        <w:tabs>
          <w:tab w:val="left" w:pos="84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附件2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房屋交接确认书</w:t>
      </w:r>
    </w:p>
    <w:p w14:paraId="3449792E">
      <w:pPr>
        <w:keepNext w:val="0"/>
        <w:keepLines w:val="0"/>
        <w:pageBreakBefore w:val="0"/>
        <w:tabs>
          <w:tab w:val="left" w:pos="84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b w:val="0"/>
          <w:color w:val="auto"/>
          <w:sz w:val="32"/>
          <w:szCs w:val="32"/>
          <w:highlight w:val="none"/>
          <w:lang w:val="en-US" w:eastAsia="zh-CN"/>
        </w:rPr>
        <w:t>.</w:t>
      </w:r>
      <w:r>
        <w:rPr>
          <w:rStyle w:val="11"/>
          <w:rFonts w:hint="eastAsia" w:ascii="仿宋_GB2312" w:hAnsi="仿宋_GB2312" w:eastAsia="仿宋_GB2312" w:cs="仿宋_GB2312"/>
          <w:b w:val="0"/>
          <w:color w:val="auto"/>
          <w:sz w:val="32"/>
          <w:szCs w:val="32"/>
          <w:highlight w:val="none"/>
        </w:rPr>
        <w:t>乙方具体改造内容及实施方案</w:t>
      </w:r>
    </w:p>
    <w:p w14:paraId="42BB8D60">
      <w:pPr>
        <w:keepNext w:val="0"/>
        <w:keepLines w:val="0"/>
        <w:pageBreakBefore w:val="0"/>
        <w:kinsoku/>
        <w:wordWrap/>
        <w:overflowPunct/>
        <w:topLinePunct w:val="0"/>
        <w:bidi w:val="0"/>
        <w:adjustRightInd/>
        <w:snapToGrid/>
        <w:spacing w:line="460" w:lineRule="exact"/>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附件4.房屋交付标准</w:t>
      </w:r>
    </w:p>
    <w:p w14:paraId="68BBB39F">
      <w:pPr>
        <w:keepNext w:val="0"/>
        <w:keepLines w:val="0"/>
        <w:pageBreakBefore w:val="0"/>
        <w:kinsoku/>
        <w:wordWrap/>
        <w:overflowPunct/>
        <w:topLinePunct w:val="0"/>
        <w:bidi w:val="0"/>
        <w:adjustRightInd/>
        <w:snapToGrid/>
        <w:spacing w:line="460" w:lineRule="exact"/>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附件5.廉洁协议</w:t>
      </w:r>
    </w:p>
    <w:p w14:paraId="5CA3E488">
      <w:pPr>
        <w:keepNext w:val="0"/>
        <w:keepLines w:val="0"/>
        <w:pageBreakBefore w:val="0"/>
        <w:tabs>
          <w:tab w:val="left" w:pos="168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p>
    <w:p w14:paraId="689ED55F">
      <w:pPr>
        <w:keepNext w:val="0"/>
        <w:keepLines w:val="0"/>
        <w:pageBreakBefore w:val="0"/>
        <w:tabs>
          <w:tab w:val="left" w:pos="168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p>
    <w:p w14:paraId="629F9A50">
      <w:pPr>
        <w:keepNext w:val="0"/>
        <w:keepLines w:val="0"/>
        <w:pageBreakBefore w:val="0"/>
        <w:tabs>
          <w:tab w:val="left" w:pos="1680"/>
        </w:tabs>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甲方（盖章）：                 乙方（盖章）：      </w:t>
      </w:r>
    </w:p>
    <w:p w14:paraId="4B45112E">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授权代表（签字）：             授权代表（签字）：</w:t>
      </w:r>
    </w:p>
    <w:p w14:paraId="6C3B062D">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联系电话：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联系电话：</w:t>
      </w:r>
      <w:r>
        <w:rPr>
          <w:rFonts w:hint="eastAsia" w:ascii="仿宋_GB2312" w:hAnsi="仿宋_GB2312" w:eastAsia="仿宋_GB2312" w:cs="仿宋_GB2312"/>
          <w:color w:val="auto"/>
          <w:sz w:val="32"/>
          <w:szCs w:val="32"/>
          <w:highlight w:val="none"/>
        </w:rPr>
        <w:t xml:space="preserve">               </w:t>
      </w:r>
    </w:p>
    <w:p w14:paraId="1DF0555E">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电子邮箱：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电子邮箱：</w:t>
      </w:r>
      <w:r>
        <w:rPr>
          <w:rFonts w:hint="eastAsia" w:ascii="仿宋_GB2312" w:hAnsi="仿宋_GB2312" w:eastAsia="仿宋_GB2312" w:cs="仿宋_GB2312"/>
          <w:color w:val="auto"/>
          <w:sz w:val="32"/>
          <w:szCs w:val="32"/>
          <w:highlight w:val="none"/>
        </w:rPr>
        <w:t xml:space="preserve">              </w:t>
      </w:r>
    </w:p>
    <w:p w14:paraId="6E459738">
      <w:pPr>
        <w:keepNext w:val="0"/>
        <w:keepLines w:val="0"/>
        <w:pageBreakBefore w:val="0"/>
        <w:kinsoku/>
        <w:wordWrap/>
        <w:overflowPunct/>
        <w:topLinePunct w:val="0"/>
        <w:bidi w:val="0"/>
        <w:adjustRightInd/>
        <w:snapToGrid/>
        <w:spacing w:line="460" w:lineRule="exact"/>
        <w:contextualSpacing/>
        <w:jc w:val="both"/>
        <w:textAlignment w:val="top"/>
        <w:rPr>
          <w:rFonts w:hint="default" w:ascii="仿宋_GB2312" w:hAnsi="仿宋_GB2312" w:eastAsia="仿宋_GB2312" w:cs="仿宋_GB2312"/>
          <w:color w:val="auto"/>
          <w:sz w:val="32"/>
          <w:szCs w:val="32"/>
          <w:highlight w:val="none"/>
          <w:lang w:val="en-US" w:eastAsia="zh-CN"/>
        </w:rPr>
      </w:pPr>
    </w:p>
    <w:p w14:paraId="3F26F2C3">
      <w:pPr>
        <w:keepNext w:val="0"/>
        <w:keepLines w:val="0"/>
        <w:pageBreakBefore w:val="0"/>
        <w:kinsoku/>
        <w:wordWrap/>
        <w:overflowPunct/>
        <w:topLinePunct w:val="0"/>
        <w:bidi w:val="0"/>
        <w:adjustRightInd/>
        <w:snapToGrid/>
        <w:spacing w:line="460" w:lineRule="exact"/>
        <w:contextualSpacing/>
        <w:jc w:val="both"/>
        <w:textAlignment w:val="top"/>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签署日期：</w:t>
      </w:r>
    </w:p>
    <w:p w14:paraId="238B7081">
      <w:pPr>
        <w:rPr>
          <w:rFonts w:hint="eastAsia"/>
          <w:color w:val="auto"/>
          <w:highlight w:val="none"/>
        </w:rPr>
      </w:pPr>
      <w:r>
        <w:rPr>
          <w:rFonts w:hint="eastAsia"/>
          <w:color w:val="auto"/>
          <w:highlight w:val="none"/>
        </w:rPr>
        <w:br w:type="page"/>
      </w:r>
    </w:p>
    <w:p w14:paraId="1DBD3FCF">
      <w:pPr>
        <w:bidi w:val="0"/>
        <w:rPr>
          <w:rFonts w:hint="eastAsia"/>
          <w:b/>
          <w:bCs/>
          <w:color w:val="auto"/>
          <w:highlight w:val="none"/>
        </w:rPr>
      </w:pPr>
      <w:r>
        <w:rPr>
          <w:rFonts w:hint="eastAsia" w:ascii="宋体" w:hAnsi="宋体" w:eastAsia="宋体" w:cs="宋体"/>
          <w:b/>
          <w:bCs/>
          <w:color w:val="auto"/>
          <w:sz w:val="32"/>
          <w:szCs w:val="32"/>
          <w:highlight w:val="none"/>
        </w:rPr>
        <w:t>附件1</w:t>
      </w:r>
    </w:p>
    <w:p w14:paraId="009EDF65">
      <w:pPr>
        <w:spacing w:line="360" w:lineRule="auto"/>
        <w:jc w:val="center"/>
        <w:rPr>
          <w:rFonts w:hint="eastAsia" w:ascii="小标宋" w:hAnsi="小标宋" w:eastAsia="小标宋" w:cs="小标宋"/>
          <w:b/>
          <w:color w:val="auto"/>
          <w:sz w:val="44"/>
          <w:szCs w:val="44"/>
          <w:highlight w:val="none"/>
        </w:rPr>
      </w:pPr>
      <w:r>
        <w:rPr>
          <w:rFonts w:hint="eastAsia" w:ascii="小标宋" w:hAnsi="小标宋" w:eastAsia="小标宋" w:cs="小标宋"/>
          <w:b/>
          <w:color w:val="auto"/>
          <w:sz w:val="44"/>
          <w:szCs w:val="44"/>
          <w:highlight w:val="none"/>
        </w:rPr>
        <w:t>商铺位置示意图</w:t>
      </w:r>
    </w:p>
    <w:p w14:paraId="6881B4AB">
      <w:pPr>
        <w:spacing w:line="360" w:lineRule="auto"/>
        <w:jc w:val="center"/>
        <w:rPr>
          <w:rFonts w:hint="eastAsia" w:ascii="小标宋" w:hAnsi="小标宋" w:eastAsia="小标宋" w:cs="小标宋"/>
          <w:b/>
          <w:color w:val="auto"/>
          <w:sz w:val="44"/>
          <w:szCs w:val="44"/>
          <w:highlight w:val="none"/>
          <w:lang w:eastAsia="zh-CN"/>
        </w:rPr>
      </w:pPr>
      <w:r>
        <w:rPr>
          <w:rFonts w:hint="eastAsia" w:ascii="小标宋" w:hAnsi="小标宋" w:eastAsia="小标宋" w:cs="小标宋"/>
          <w:b/>
          <w:color w:val="auto"/>
          <w:sz w:val="44"/>
          <w:szCs w:val="44"/>
          <w:highlight w:val="none"/>
          <w:lang w:eastAsia="zh-CN"/>
        </w:rPr>
        <w:drawing>
          <wp:inline distT="0" distB="0" distL="114300" distR="114300">
            <wp:extent cx="5162550" cy="3514725"/>
            <wp:effectExtent l="0" t="0" r="0" b="9525"/>
            <wp:docPr id="4" name="图片 4" descr="b46300319ffdbeb3c3e6f3fda3eb6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46300319ffdbeb3c3e6f3fda3eb67c"/>
                    <pic:cNvPicPr>
                      <a:picLocks noChangeAspect="1"/>
                    </pic:cNvPicPr>
                  </pic:nvPicPr>
                  <pic:blipFill>
                    <a:blip r:embed="rId6"/>
                    <a:stretch>
                      <a:fillRect/>
                    </a:stretch>
                  </pic:blipFill>
                  <pic:spPr>
                    <a:xfrm>
                      <a:off x="0" y="0"/>
                      <a:ext cx="5162550" cy="3514725"/>
                    </a:xfrm>
                    <a:prstGeom prst="rect">
                      <a:avLst/>
                    </a:prstGeom>
                  </pic:spPr>
                </pic:pic>
              </a:graphicData>
            </a:graphic>
          </wp:inline>
        </w:drawing>
      </w:r>
    </w:p>
    <w:p w14:paraId="0F372586">
      <w:pPr>
        <w:spacing w:line="360" w:lineRule="auto"/>
        <w:jc w:val="center"/>
        <w:rPr>
          <w:rFonts w:hint="eastAsia"/>
          <w:color w:val="auto"/>
          <w:highlight w:val="none"/>
        </w:rPr>
      </w:pPr>
    </w:p>
    <w:p w14:paraId="7D3F3FBC">
      <w:pPr>
        <w:spacing w:line="360" w:lineRule="auto"/>
        <w:jc w:val="center"/>
        <w:rPr>
          <w:rFonts w:hint="eastAsia"/>
          <w:color w:val="auto"/>
          <w:highlight w:val="none"/>
        </w:rPr>
      </w:pPr>
      <w:r>
        <w:drawing>
          <wp:inline distT="0" distB="0" distL="114300" distR="114300">
            <wp:extent cx="2640330" cy="2499360"/>
            <wp:effectExtent l="0" t="0" r="7620"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rcRect t="22626"/>
                    <a:stretch>
                      <a:fillRect/>
                    </a:stretch>
                  </pic:blipFill>
                  <pic:spPr>
                    <a:xfrm>
                      <a:off x="0" y="0"/>
                      <a:ext cx="2640330" cy="2499360"/>
                    </a:xfrm>
                    <a:prstGeom prst="rect">
                      <a:avLst/>
                    </a:prstGeom>
                    <a:noFill/>
                    <a:ln>
                      <a:noFill/>
                    </a:ln>
                  </pic:spPr>
                </pic:pic>
              </a:graphicData>
            </a:graphic>
          </wp:inline>
        </w:drawing>
      </w:r>
    </w:p>
    <w:p w14:paraId="31AC66AC">
      <w:pPr>
        <w:spacing w:line="360" w:lineRule="auto"/>
        <w:jc w:val="center"/>
        <w:rPr>
          <w:rFonts w:hint="eastAsia"/>
          <w:color w:val="auto"/>
          <w:highlight w:val="none"/>
        </w:rPr>
      </w:pPr>
    </w:p>
    <w:p w14:paraId="256060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小标宋" w:hAnsi="小标宋" w:eastAsia="小标宋" w:cs="小标宋"/>
          <w:b/>
          <w:color w:val="auto"/>
          <w:sz w:val="44"/>
          <w:szCs w:val="44"/>
          <w:highlight w:val="none"/>
          <w:lang w:val="en-US" w:eastAsia="zh-CN"/>
        </w:rPr>
      </w:pPr>
      <w:r>
        <w:rPr>
          <w:rFonts w:hint="eastAsia" w:ascii="小标宋" w:hAnsi="小标宋" w:eastAsia="小标宋" w:cs="小标宋"/>
          <w:b/>
          <w:color w:val="auto"/>
          <w:sz w:val="44"/>
          <w:szCs w:val="44"/>
          <w:highlight w:val="none"/>
          <w:lang w:val="en-US" w:eastAsia="zh-CN"/>
        </w:rPr>
        <w:t>A/B区XX号XX</w:t>
      </w:r>
      <w:r>
        <w:rPr>
          <w:rFonts w:hint="eastAsia" w:ascii="宋体" w:hAnsi="宋体" w:eastAsia="宋体" w:cs="宋体"/>
          <w:b/>
          <w:color w:val="auto"/>
          <w:sz w:val="44"/>
          <w:szCs w:val="44"/>
          <w:highlight w:val="none"/>
          <w:lang w:val="en-US" w:eastAsia="zh-CN"/>
        </w:rPr>
        <w:t>㎡</w:t>
      </w:r>
    </w:p>
    <w:p w14:paraId="26E8DBAC">
      <w:pPr>
        <w:spacing w:line="360" w:lineRule="auto"/>
        <w:jc w:val="center"/>
        <w:rPr>
          <w:rFonts w:hint="eastAsia"/>
          <w:color w:val="auto"/>
          <w:highlight w:val="none"/>
        </w:rPr>
      </w:pPr>
    </w:p>
    <w:p w14:paraId="7EDCF4C6">
      <w:pPr>
        <w:spacing w:line="360" w:lineRule="auto"/>
        <w:jc w:val="center"/>
        <w:rPr>
          <w:rFonts w:hint="eastAsia"/>
          <w:color w:val="auto"/>
          <w:highlight w:val="none"/>
        </w:rPr>
      </w:pPr>
    </w:p>
    <w:p w14:paraId="0F19832D">
      <w:pPr>
        <w:spacing w:line="360" w:lineRule="auto"/>
        <w:jc w:val="center"/>
        <w:rPr>
          <w:rFonts w:hint="eastAsia"/>
          <w:color w:val="auto"/>
          <w:highlight w:val="none"/>
        </w:rPr>
      </w:pPr>
    </w:p>
    <w:p w14:paraId="111CCA63">
      <w:pPr>
        <w:spacing w:line="360" w:lineRule="auto"/>
        <w:jc w:val="center"/>
        <w:rPr>
          <w:rFonts w:hint="eastAsia"/>
          <w:color w:val="auto"/>
          <w:highlight w:val="none"/>
        </w:rPr>
      </w:pPr>
    </w:p>
    <w:p w14:paraId="77C726B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附件2</w:t>
      </w:r>
    </w:p>
    <w:p w14:paraId="1D165C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小标宋" w:hAnsi="小标宋" w:eastAsia="小标宋" w:cs="小标宋"/>
          <w:b/>
          <w:color w:val="auto"/>
          <w:sz w:val="44"/>
          <w:szCs w:val="44"/>
          <w:highlight w:val="none"/>
        </w:rPr>
      </w:pPr>
      <w:r>
        <w:rPr>
          <w:rFonts w:hint="eastAsia" w:ascii="小标宋" w:hAnsi="小标宋" w:eastAsia="小标宋" w:cs="小标宋"/>
          <w:b/>
          <w:color w:val="auto"/>
          <w:sz w:val="44"/>
          <w:szCs w:val="44"/>
          <w:highlight w:val="none"/>
        </w:rPr>
        <w:t>房屋交接确认书</w:t>
      </w:r>
    </w:p>
    <w:p w14:paraId="49357FD7">
      <w:pPr>
        <w:keepNext w:val="0"/>
        <w:keepLines w:val="0"/>
        <w:pageBreakBefore w:val="0"/>
        <w:widowControl w:val="0"/>
        <w:kinsoku/>
        <w:wordWrap/>
        <w:overflowPunct/>
        <w:topLinePunct w:val="0"/>
        <w:autoSpaceDE/>
        <w:autoSpaceDN/>
        <w:bidi w:val="0"/>
        <w:adjustRightInd/>
        <w:snapToGrid/>
        <w:spacing w:line="560" w:lineRule="exact"/>
        <w:ind w:firstLine="437"/>
        <w:jc w:val="both"/>
        <w:textAlignment w:val="auto"/>
        <w:rPr>
          <w:rFonts w:ascii="宋体" w:hAnsi="宋体"/>
          <w:color w:val="auto"/>
          <w:szCs w:val="21"/>
          <w:highlight w:val="none"/>
        </w:rPr>
      </w:pPr>
    </w:p>
    <w:p w14:paraId="008B18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single"/>
          <w:lang w:val="en-US" w:eastAsia="zh-CN"/>
        </w:rPr>
        <w:t>2026</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15</w:t>
      </w:r>
      <w:r>
        <w:rPr>
          <w:rFonts w:hint="eastAsia" w:ascii="仿宋_GB2312" w:hAnsi="仿宋_GB2312" w:eastAsia="仿宋_GB2312" w:cs="仿宋_GB2312"/>
          <w:color w:val="auto"/>
          <w:sz w:val="32"/>
          <w:szCs w:val="32"/>
        </w:rPr>
        <w:t>日（下称“验收日”），</w:t>
      </w:r>
      <w:r>
        <w:rPr>
          <w:rFonts w:hint="eastAsia" w:ascii="仿宋_GB2312" w:hAnsi="仿宋_GB2312" w:eastAsia="仿宋_GB2312" w:cs="仿宋_GB2312"/>
          <w:color w:val="auto"/>
          <w:kern w:val="2"/>
          <w:sz w:val="32"/>
          <w:szCs w:val="32"/>
          <w:highlight w:val="none"/>
          <w:u w:val="single"/>
          <w:lang w:val="en-US" w:eastAsia="zh-CN" w:bidi="ar-SA"/>
        </w:rPr>
        <w:t>辽宁方大总医院有限公司</w:t>
      </w:r>
      <w:r>
        <w:rPr>
          <w:rFonts w:hint="eastAsia" w:ascii="仿宋_GB2312" w:hAnsi="仿宋_GB2312" w:eastAsia="仿宋_GB2312" w:cs="仿宋_GB2312"/>
          <w:color w:val="auto"/>
          <w:sz w:val="32"/>
          <w:szCs w:val="32"/>
        </w:rPr>
        <w:t>（出租方，下称“甲方”）与</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（承租方，下称“乙方”）依据《</w:t>
      </w:r>
      <w:r>
        <w:rPr>
          <w:rFonts w:hint="eastAsia" w:ascii="仿宋_GB2312" w:hAnsi="仿宋_GB2312" w:eastAsia="仿宋_GB2312" w:cs="仿宋_GB2312"/>
          <w:color w:val="auto"/>
          <w:sz w:val="32"/>
          <w:szCs w:val="32"/>
          <w:highlight w:val="none"/>
          <w:u w:val="single"/>
        </w:rPr>
        <w:t>辽宁方大总医院招租招商项目租赁合同</w:t>
      </w:r>
      <w:r>
        <w:rPr>
          <w:rFonts w:hint="eastAsia" w:ascii="仿宋_GB2312" w:hAnsi="仿宋_GB2312" w:eastAsia="仿宋_GB2312" w:cs="仿宋_GB2312"/>
          <w:color w:val="auto"/>
          <w:sz w:val="32"/>
          <w:szCs w:val="32"/>
        </w:rPr>
        <w:t>》（下称“租赁合同”）约定，在见证方见证下，对位于</w:t>
      </w:r>
      <w:r>
        <w:rPr>
          <w:rFonts w:hint="eastAsia" w:ascii="仿宋_GB2312" w:hAnsi="仿宋_GB2312" w:eastAsia="仿宋_GB2312" w:cs="仿宋_GB2312"/>
          <w:color w:val="auto"/>
          <w:sz w:val="32"/>
          <w:szCs w:val="32"/>
          <w:highlight w:val="none"/>
          <w:u w:val="single"/>
        </w:rPr>
        <w:t>辽宁方大总医院招租招商</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highlight w:val="none"/>
          <w:u w:val="single"/>
          <w:lang w:val="en-US" w:eastAsia="zh-CN"/>
        </w:rPr>
        <w:t>/</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u w:val="single"/>
          <w:lang w:val="en-US" w:eastAsia="zh-CN"/>
        </w:rPr>
        <w:t>/</w:t>
      </w:r>
      <w:r>
        <w:rPr>
          <w:rFonts w:hint="eastAsia" w:ascii="仿宋_GB2312" w:hAnsi="仿宋_GB2312" w:eastAsia="仿宋_GB2312" w:cs="仿宋_GB2312"/>
          <w:color w:val="auto"/>
          <w:sz w:val="32"/>
          <w:szCs w:val="32"/>
          <w:highlight w:val="none"/>
        </w:rPr>
        <w:t>层的</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rPr>
        <w:t>号商铺进行了交接验收。</w:t>
      </w:r>
    </w:p>
    <w:p w14:paraId="05DE1038">
      <w:pPr>
        <w:keepNext w:val="0"/>
        <w:keepLines w:val="0"/>
        <w:pageBreakBefore w:val="0"/>
        <w:widowControl w:val="0"/>
        <w:kinsoku/>
        <w:wordWrap/>
        <w:overflowPunct/>
        <w:topLinePunct w:val="0"/>
        <w:autoSpaceDE/>
        <w:autoSpaceDN/>
        <w:bidi w:val="0"/>
        <w:adjustRightInd/>
        <w:snapToGrid/>
        <w:spacing w:line="560" w:lineRule="exact"/>
        <w:ind w:firstLine="576"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0"/>
          <w:sz w:val="32"/>
          <w:szCs w:val="32"/>
        </w:rPr>
        <w:t>经现场核实，甲方移交的商铺符合租赁合同约定的交付条件，乙方没有异议。甲、乙双方确认，自验收日起，甲方正式将该商铺移交给乙方，由乙方按租赁合同的约定使用。乙方不可撤销地承诺服从甲方的开业安排，确保该商铺</w:t>
      </w:r>
      <w:r>
        <w:rPr>
          <w:rFonts w:hint="eastAsia" w:ascii="仿宋_GB2312" w:hAnsi="仿宋_GB2312" w:eastAsia="仿宋_GB2312" w:cs="仿宋_GB2312"/>
          <w:color w:val="auto"/>
          <w:w w:val="100"/>
          <w:sz w:val="32"/>
          <w:szCs w:val="32"/>
        </w:rPr>
        <w:t>按期开业。</w:t>
      </w:r>
    </w:p>
    <w:p w14:paraId="547E889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p>
    <w:p w14:paraId="32F9957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p>
    <w:p w14:paraId="28C0238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交付方：    （盖章）</w:t>
      </w:r>
    </w:p>
    <w:p w14:paraId="3E2569E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授权代表（签字）：</w:t>
      </w:r>
    </w:p>
    <w:p w14:paraId="4BDACBB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p>
    <w:p w14:paraId="49A86AC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接收方：    （盖章）</w:t>
      </w:r>
    </w:p>
    <w:p w14:paraId="5EC14B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授权代表（签字）：</w:t>
      </w:r>
    </w:p>
    <w:p w14:paraId="5928098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p>
    <w:p w14:paraId="2B5F195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p>
    <w:p w14:paraId="207A8C6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2026</w:t>
      </w:r>
      <w:r>
        <w:rPr>
          <w:rFonts w:hint="eastAsia" w:ascii="仿宋_GB2312" w:hAnsi="仿宋_GB2312" w:eastAsia="仿宋_GB2312" w:cs="仿宋_GB2312"/>
          <w:color w:val="auto"/>
          <w:sz w:val="32"/>
          <w:szCs w:val="32"/>
          <w:highlight w:val="none"/>
        </w:rPr>
        <w:t xml:space="preserve">年 </w:t>
      </w:r>
      <w:r>
        <w:rPr>
          <w:rFonts w:hint="eastAsia" w:ascii="仿宋_GB2312" w:hAnsi="仿宋_GB2312" w:eastAsia="仿宋_GB2312" w:cs="仿宋_GB2312"/>
          <w:color w:val="auto"/>
          <w:sz w:val="32"/>
          <w:szCs w:val="32"/>
          <w:highlight w:val="none"/>
          <w:lang w:val="en-US" w:eastAsia="zh-CN"/>
        </w:rPr>
        <w:t>XX</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XX</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14:paraId="5D758503">
      <w:pPr>
        <w:spacing w:line="360" w:lineRule="auto"/>
        <w:ind w:firstLine="5565" w:firstLineChars="2650"/>
        <w:jc w:val="both"/>
        <w:rPr>
          <w:rFonts w:ascii="宋体" w:hAnsi="宋体"/>
          <w:color w:val="auto"/>
          <w:szCs w:val="21"/>
          <w:highlight w:val="none"/>
        </w:rPr>
      </w:pPr>
    </w:p>
    <w:p w14:paraId="37015E9F">
      <w:pPr>
        <w:snapToGrid w:val="0"/>
        <w:spacing w:before="120" w:beforeLines="50" w:line="360" w:lineRule="auto"/>
        <w:jc w:val="both"/>
        <w:rPr>
          <w:rFonts w:ascii="宋体" w:hAnsi="宋体"/>
          <w:b/>
          <w:color w:val="auto"/>
          <w:szCs w:val="21"/>
          <w:highlight w:val="none"/>
        </w:rPr>
      </w:pPr>
    </w:p>
    <w:p w14:paraId="27215E7C">
      <w:pPr>
        <w:snapToGrid w:val="0"/>
        <w:spacing w:before="120" w:beforeLines="50" w:line="360" w:lineRule="auto"/>
        <w:jc w:val="both"/>
        <w:rPr>
          <w:rFonts w:ascii="宋体" w:hAnsi="宋体"/>
          <w:b/>
          <w:color w:val="auto"/>
          <w:szCs w:val="21"/>
          <w:highlight w:val="none"/>
        </w:rPr>
      </w:pPr>
    </w:p>
    <w:p w14:paraId="041CBB60">
      <w:pPr>
        <w:bidi w:val="0"/>
        <w:jc w:val="both"/>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附件3</w:t>
      </w:r>
    </w:p>
    <w:p w14:paraId="1E461843">
      <w:pPr>
        <w:keepNext w:val="0"/>
        <w:keepLines w:val="0"/>
        <w:widowControl w:val="0"/>
        <w:tabs>
          <w:tab w:val="left" w:pos="840"/>
        </w:tabs>
        <w:kinsoku/>
        <w:wordWrap/>
        <w:overflowPunct/>
        <w:topLinePunct w:val="0"/>
        <w:autoSpaceDE/>
        <w:autoSpaceDN/>
        <w:bidi w:val="0"/>
        <w:adjustRightInd/>
        <w:spacing w:line="560" w:lineRule="exact"/>
        <w:contextualSpacing/>
        <w:jc w:val="center"/>
        <w:textAlignment w:val="top"/>
        <w:rPr>
          <w:rFonts w:hint="eastAsia" w:ascii="小标宋" w:hAnsi="小标宋" w:eastAsia="小标宋" w:cs="小标宋"/>
          <w:b/>
          <w:bCs w:val="0"/>
          <w:color w:val="auto"/>
          <w:sz w:val="44"/>
          <w:szCs w:val="44"/>
          <w:highlight w:val="none"/>
        </w:rPr>
      </w:pPr>
      <w:r>
        <w:rPr>
          <w:rFonts w:hint="eastAsia" w:ascii="小标宋" w:hAnsi="小标宋" w:eastAsia="小标宋" w:cs="小标宋"/>
          <w:b/>
          <w:color w:val="auto"/>
          <w:sz w:val="44"/>
          <w:szCs w:val="44"/>
          <w:highlight w:val="none"/>
        </w:rPr>
        <w:t>乙方具体改造内容及实施方案</w:t>
      </w:r>
    </w:p>
    <w:p w14:paraId="262F9064">
      <w:pPr>
        <w:snapToGrid w:val="0"/>
        <w:spacing w:before="120" w:beforeLines="50" w:line="360" w:lineRule="auto"/>
        <w:jc w:val="both"/>
        <w:rPr>
          <w:rFonts w:hint="eastAsia" w:ascii="仿宋_GB2312" w:hAnsi="仿宋_GB2312" w:eastAsia="仿宋_GB2312" w:cs="仿宋_GB2312"/>
          <w:b/>
          <w:color w:val="auto"/>
          <w:sz w:val="32"/>
          <w:szCs w:val="32"/>
          <w:highlight w:val="none"/>
        </w:rPr>
      </w:pPr>
    </w:p>
    <w:p w14:paraId="43C36D51">
      <w:pPr>
        <w:keepNext w:val="0"/>
        <w:keepLines w:val="0"/>
        <w:pageBreakBefore w:val="0"/>
        <w:widowControl/>
        <w:kinsoku/>
        <w:wordWrap/>
        <w:overflowPunct/>
        <w:topLinePunct w:val="0"/>
        <w:autoSpaceDE/>
        <w:autoSpaceDN/>
        <w:bidi w:val="0"/>
        <w:adjustRightInd/>
        <w:spacing w:line="560" w:lineRule="exact"/>
        <w:ind w:firstLine="48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向</w:t>
      </w:r>
      <w:r>
        <w:rPr>
          <w:rFonts w:hint="eastAsia" w:ascii="仿宋_GB2312" w:hAnsi="仿宋_GB2312" w:eastAsia="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rPr>
        <w:t>提供的施工图纸包括：</w:t>
      </w:r>
    </w:p>
    <w:p w14:paraId="43BE2B30">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rPr>
        <w:t>效果图</w:t>
      </w:r>
    </w:p>
    <w:p w14:paraId="5B9BC4C9">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租户品牌目前在国内的最新装修效果图；店内效果图、平面布置效果图；门面及店招效果图。</w:t>
      </w:r>
    </w:p>
    <w:p w14:paraId="0E87C5E9">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rPr>
        <w:t>装修设计说明书</w:t>
      </w:r>
    </w:p>
    <w:p w14:paraId="0C13D9D5">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包括主要建筑材料和重型设备的清单、工程进度表、配套事项等。</w:t>
      </w:r>
    </w:p>
    <w:p w14:paraId="2CA0D167">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三、</w:t>
      </w:r>
      <w:r>
        <w:rPr>
          <w:rFonts w:hint="eastAsia" w:ascii="仿宋_GB2312" w:hAnsi="仿宋_GB2312" w:eastAsia="仿宋_GB2312" w:cs="仿宋_GB2312"/>
          <w:b/>
          <w:bCs/>
          <w:color w:val="auto"/>
          <w:sz w:val="32"/>
          <w:szCs w:val="32"/>
          <w:highlight w:val="none"/>
        </w:rPr>
        <w:t>装修平面图</w:t>
      </w:r>
    </w:p>
    <w:p w14:paraId="738790F3">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装修平面图需注明所有间隔、柜台货架位置；装饰用料及其施工方法，防火材料还需提供合格证和准用证；标明重型设备重量、详细尺寸及安放位置；注明地面施工方案；包括家具和设备在内的总体内部布置等。</w:t>
      </w:r>
    </w:p>
    <w:p w14:paraId="42B04E0D">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rPr>
        <w:t>剖面图</w:t>
      </w:r>
    </w:p>
    <w:p w14:paraId="35000B02">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标明商铺橱窗、内部陈列各立方面剖面图及店招的剖面图。  </w:t>
      </w:r>
    </w:p>
    <w:p w14:paraId="478CC414">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招牌标识</w:t>
      </w:r>
    </w:p>
    <w:p w14:paraId="56AF1043">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有比例标识的店铺立面图等。  </w:t>
      </w:r>
    </w:p>
    <w:p w14:paraId="36ABDBC7">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 xml:space="preserve">天花板平面图  </w:t>
      </w:r>
    </w:p>
    <w:p w14:paraId="47A709A7">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七、</w:t>
      </w:r>
      <w:r>
        <w:rPr>
          <w:rFonts w:hint="eastAsia" w:ascii="仿宋_GB2312" w:hAnsi="仿宋_GB2312" w:eastAsia="仿宋_GB2312" w:cs="仿宋_GB2312"/>
          <w:b/>
          <w:bCs/>
          <w:color w:val="auto"/>
          <w:sz w:val="32"/>
          <w:szCs w:val="32"/>
          <w:highlight w:val="none"/>
        </w:rPr>
        <w:t xml:space="preserve">电气系统图、电气施工平面图 </w:t>
      </w:r>
    </w:p>
    <w:p w14:paraId="4087D968">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需注明灯具型号、功率、功率因数、额定电压、数量及安装方法；标明镇流器安放位置及型号规格；注明电线规格及线路敷设方法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注明电源开关、灯具开关及插座等型号规格。一般情况下，每一个铺位的总用电量在3kVA以内，若超出部分须增容，并按实际情况收取增容费。  </w:t>
      </w:r>
    </w:p>
    <w:p w14:paraId="5FDC4F44">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八、</w:t>
      </w:r>
      <w:r>
        <w:rPr>
          <w:rFonts w:hint="eastAsia" w:ascii="仿宋_GB2312" w:hAnsi="仿宋_GB2312" w:eastAsia="仿宋_GB2312" w:cs="仿宋_GB2312"/>
          <w:b/>
          <w:bCs/>
          <w:color w:val="auto"/>
          <w:sz w:val="32"/>
          <w:szCs w:val="32"/>
          <w:highlight w:val="none"/>
        </w:rPr>
        <w:t xml:space="preserve">空调图  </w:t>
      </w:r>
    </w:p>
    <w:p w14:paraId="0EBA0D45">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36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九、</w:t>
      </w:r>
      <w:r>
        <w:rPr>
          <w:rFonts w:hint="eastAsia" w:ascii="仿宋_GB2312" w:hAnsi="仿宋_GB2312" w:eastAsia="仿宋_GB2312" w:cs="仿宋_GB2312"/>
          <w:b/>
          <w:bCs/>
          <w:color w:val="auto"/>
          <w:sz w:val="32"/>
          <w:szCs w:val="32"/>
          <w:highlight w:val="none"/>
        </w:rPr>
        <w:t>管道及排水平面图</w:t>
      </w:r>
    </w:p>
    <w:p w14:paraId="3DBEE316">
      <w:pPr>
        <w:pStyle w:val="7"/>
        <w:keepNext w:val="0"/>
        <w:keepLines w:val="0"/>
        <w:pageBreakBefore w:val="0"/>
        <w:widowControl/>
        <w:numPr>
          <w:ilvl w:val="0"/>
          <w:numId w:val="0"/>
        </w:numPr>
        <w:tabs>
          <w:tab w:val="left" w:pos="284"/>
          <w:tab w:val="left" w:pos="720"/>
        </w:tabs>
        <w:kinsoku/>
        <w:wordWrap/>
        <w:overflowPunct/>
        <w:topLinePunct w:val="0"/>
        <w:autoSpaceDE/>
        <w:autoSpaceDN/>
        <w:bidi w:val="0"/>
        <w:adjustRightInd/>
        <w:snapToGrid w:val="0"/>
        <w:spacing w:before="0" w:beforeAutospacing="0" w:after="0" w:afterAutospacing="0" w:line="560" w:lineRule="exact"/>
        <w:ind w:leftChars="135"/>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十、</w:t>
      </w:r>
      <w:r>
        <w:rPr>
          <w:rFonts w:hint="eastAsia" w:ascii="仿宋_GB2312" w:hAnsi="仿宋_GB2312" w:eastAsia="仿宋_GB2312" w:cs="仿宋_GB2312"/>
          <w:b/>
          <w:bCs/>
          <w:color w:val="auto"/>
          <w:sz w:val="32"/>
          <w:szCs w:val="32"/>
          <w:highlight w:val="none"/>
        </w:rPr>
        <w:t>厨房排烟管道接口</w:t>
      </w:r>
    </w:p>
    <w:p w14:paraId="43F0A163">
      <w:pPr>
        <w:pStyle w:val="7"/>
        <w:keepNext w:val="0"/>
        <w:keepLines w:val="0"/>
        <w:pageBreakBefore w:val="0"/>
        <w:widowControl/>
        <w:numPr>
          <w:ilvl w:val="0"/>
          <w:numId w:val="0"/>
        </w:numPr>
        <w:tabs>
          <w:tab w:val="left" w:pos="720"/>
        </w:tabs>
        <w:kinsoku/>
        <w:wordWrap/>
        <w:overflowPunct/>
        <w:topLinePunct w:val="0"/>
        <w:autoSpaceDE/>
        <w:autoSpaceDN/>
        <w:bidi w:val="0"/>
        <w:adjustRightInd/>
        <w:snapToGrid w:val="0"/>
        <w:spacing w:before="0" w:beforeAutospacing="0" w:after="0" w:afterAutospacing="0" w:line="560" w:lineRule="exact"/>
        <w:ind w:leftChars="135"/>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十一、</w:t>
      </w:r>
      <w:r>
        <w:rPr>
          <w:rFonts w:hint="eastAsia" w:ascii="仿宋_GB2312" w:hAnsi="仿宋_GB2312" w:eastAsia="仿宋_GB2312" w:cs="仿宋_GB2312"/>
          <w:b/>
          <w:bCs/>
          <w:color w:val="auto"/>
          <w:sz w:val="32"/>
          <w:szCs w:val="32"/>
          <w:highlight w:val="none"/>
        </w:rPr>
        <w:t xml:space="preserve">厨房使用燃气的租户需提供如下资料  </w:t>
      </w:r>
    </w:p>
    <w:p w14:paraId="43E18D0D">
      <w:pPr>
        <w:pStyle w:val="7"/>
        <w:keepNext w:val="0"/>
        <w:keepLines w:val="0"/>
        <w:pageBreakBefore w:val="0"/>
        <w:widowControl/>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18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燃气灶具包房位置平面图；燃气设计说明与燃气需求量；燃气灶具清单：名称、规格、数量、用气量等；燃气灶具厂商提供合格证、当地燃气公司认可证明等材料。</w:t>
      </w:r>
    </w:p>
    <w:p w14:paraId="151D7B0C">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18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十二、</w:t>
      </w:r>
      <w:r>
        <w:rPr>
          <w:rFonts w:hint="eastAsia" w:ascii="仿宋_GB2312" w:hAnsi="仿宋_GB2312" w:eastAsia="仿宋_GB2312" w:cs="仿宋_GB2312"/>
          <w:b/>
          <w:bCs/>
          <w:color w:val="auto"/>
          <w:sz w:val="32"/>
          <w:szCs w:val="32"/>
          <w:highlight w:val="none"/>
        </w:rPr>
        <w:t xml:space="preserve">材料清单及说明（阻燃材料证明或说明） </w:t>
      </w:r>
    </w:p>
    <w:p w14:paraId="687FFAC6">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180" w:leftChars="0"/>
        <w:jc w:val="both"/>
        <w:textAlignment w:val="auto"/>
        <w:rPr>
          <w:rFonts w:hint="eastAsia" w:ascii="仿宋_GB2312" w:hAnsi="仿宋_GB2312" w:eastAsia="仿宋_GB2312" w:cs="仿宋_GB2312"/>
          <w:color w:val="auto"/>
          <w:sz w:val="32"/>
          <w:szCs w:val="32"/>
          <w:highlight w:val="none"/>
        </w:rPr>
      </w:pPr>
    </w:p>
    <w:p w14:paraId="2E54E5EB">
      <w:pPr>
        <w:pStyle w:val="7"/>
        <w:keepNext w:val="0"/>
        <w:keepLines w:val="0"/>
        <w:pageBreakBefore w:val="0"/>
        <w:widowControl/>
        <w:numPr>
          <w:ilvl w:val="0"/>
          <w:numId w:val="0"/>
        </w:numPr>
        <w:tabs>
          <w:tab w:val="left" w:pos="360"/>
          <w:tab w:val="left" w:pos="720"/>
        </w:tabs>
        <w:kinsoku/>
        <w:wordWrap/>
        <w:overflowPunct/>
        <w:topLinePunct w:val="0"/>
        <w:autoSpaceDE/>
        <w:autoSpaceDN/>
        <w:bidi w:val="0"/>
        <w:adjustRightInd/>
        <w:snapToGrid w:val="0"/>
        <w:spacing w:before="0" w:beforeAutospacing="0" w:after="0" w:afterAutospacing="0" w:line="560" w:lineRule="exact"/>
        <w:ind w:left="180" w:leftChars="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说明：</w:t>
      </w:r>
      <w:r>
        <w:rPr>
          <w:rFonts w:hint="eastAsia" w:ascii="仿宋_GB2312" w:hAnsi="仿宋_GB2312" w:eastAsia="仿宋_GB2312" w:cs="仿宋_GB2312"/>
          <w:b/>
          <w:bCs/>
          <w:color w:val="auto"/>
          <w:sz w:val="32"/>
          <w:szCs w:val="32"/>
          <w:highlight w:val="none"/>
        </w:rPr>
        <w:t>装修设计图纸需由租户自行申报至消防主管部门，并取得同意批复。</w:t>
      </w:r>
    </w:p>
    <w:p w14:paraId="4CC56E2C">
      <w:pPr>
        <w:jc w:val="both"/>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br w:type="page"/>
      </w:r>
    </w:p>
    <w:p w14:paraId="2990661D">
      <w:pPr>
        <w:bidi w:val="0"/>
        <w:jc w:val="both"/>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w:t>
      </w:r>
      <w:r>
        <w:rPr>
          <w:rFonts w:hint="eastAsia" w:ascii="宋体" w:hAnsi="宋体" w:cs="宋体"/>
          <w:b/>
          <w:bCs/>
          <w:color w:val="auto"/>
          <w:sz w:val="32"/>
          <w:szCs w:val="32"/>
          <w:highlight w:val="none"/>
          <w:lang w:val="en-US" w:eastAsia="zh-CN"/>
        </w:rPr>
        <w:t>4</w:t>
      </w:r>
    </w:p>
    <w:p w14:paraId="68306460">
      <w:pPr>
        <w:keepNext w:val="0"/>
        <w:keepLines w:val="0"/>
        <w:widowControl w:val="0"/>
        <w:kinsoku/>
        <w:wordWrap/>
        <w:overflowPunct/>
        <w:topLinePunct w:val="0"/>
        <w:autoSpaceDE/>
        <w:autoSpaceDN/>
        <w:bidi w:val="0"/>
        <w:adjustRightInd/>
        <w:snapToGrid w:val="0"/>
        <w:spacing w:before="120" w:beforeLines="50" w:line="560" w:lineRule="exact"/>
        <w:jc w:val="center"/>
        <w:textAlignment w:val="auto"/>
        <w:rPr>
          <w:rFonts w:ascii="宋体" w:hAnsi="宋体"/>
          <w:color w:val="auto"/>
          <w:szCs w:val="21"/>
          <w:highlight w:val="none"/>
        </w:rPr>
      </w:pPr>
      <w:r>
        <w:rPr>
          <w:rFonts w:hint="eastAsia" w:ascii="小标宋" w:hAnsi="小标宋" w:eastAsia="小标宋" w:cs="小标宋"/>
          <w:b/>
          <w:color w:val="auto"/>
          <w:sz w:val="44"/>
          <w:szCs w:val="44"/>
          <w:highlight w:val="none"/>
        </w:rPr>
        <w:t>房屋交付标准</w:t>
      </w:r>
    </w:p>
    <w:p w14:paraId="5F7ACA03">
      <w:pPr>
        <w:keepNext w:val="0"/>
        <w:keepLines w:val="0"/>
        <w:widowControl w:val="0"/>
        <w:kinsoku/>
        <w:wordWrap/>
        <w:overflowPunct/>
        <w:topLinePunct w:val="0"/>
        <w:autoSpaceDE/>
        <w:autoSpaceDN/>
        <w:bidi w:val="0"/>
        <w:adjustRightInd/>
        <w:spacing w:line="560" w:lineRule="exact"/>
        <w:ind w:left="-176" w:leftChars="-84" w:firstLine="630" w:firstLineChars="300"/>
        <w:jc w:val="both"/>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商铺号</w:t>
      </w:r>
      <w:r>
        <w:rPr>
          <w:rFonts w:hint="eastAsia" w:ascii="仿宋_GB2312" w:hAnsi="仿宋_GB2312" w:eastAsia="仿宋_GB2312" w:cs="仿宋_GB2312"/>
          <w:color w:val="auto"/>
          <w:szCs w:val="21"/>
          <w:highlight w:val="none"/>
          <w:lang w:val="en-US" w:eastAsia="zh-CN"/>
        </w:rPr>
        <w:t xml:space="preserve">:B15 </w:t>
      </w:r>
      <w:r>
        <w:rPr>
          <w:rFonts w:hint="eastAsia" w:ascii="仿宋_GB2312" w:hAnsi="仿宋_GB2312" w:eastAsia="仿宋_GB2312" w:cs="仿宋_GB2312"/>
          <w:color w:val="auto"/>
          <w:szCs w:val="21"/>
          <w:highlight w:val="none"/>
        </w:rPr>
        <w:t xml:space="preserv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9"/>
        <w:gridCol w:w="1684"/>
        <w:gridCol w:w="2012"/>
      </w:tblGrid>
      <w:tr w14:paraId="1463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779" w:type="dxa"/>
            <w:vAlign w:val="bottom"/>
          </w:tcPr>
          <w:p w14:paraId="60A581A9">
            <w:pPr>
              <w:spacing w:line="360" w:lineRule="auto"/>
              <w:jc w:val="both"/>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项目名称</w:t>
            </w:r>
          </w:p>
        </w:tc>
        <w:tc>
          <w:tcPr>
            <w:tcW w:w="1684" w:type="dxa"/>
            <w:vAlign w:val="bottom"/>
          </w:tcPr>
          <w:p w14:paraId="130C4054">
            <w:pPr>
              <w:spacing w:line="360" w:lineRule="auto"/>
              <w:ind w:firstLine="420" w:firstLineChars="200"/>
              <w:jc w:val="both"/>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状况</w:t>
            </w:r>
          </w:p>
        </w:tc>
        <w:tc>
          <w:tcPr>
            <w:tcW w:w="2012" w:type="dxa"/>
            <w:vAlign w:val="bottom"/>
          </w:tcPr>
          <w:p w14:paraId="5C4521F3">
            <w:pPr>
              <w:spacing w:line="360" w:lineRule="auto"/>
              <w:ind w:firstLine="630" w:firstLineChars="300"/>
              <w:jc w:val="both"/>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备注</w:t>
            </w:r>
          </w:p>
        </w:tc>
      </w:tr>
      <w:tr w14:paraId="3000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779" w:type="dxa"/>
            <w:shd w:val="clear" w:color="auto" w:fill="auto"/>
            <w:vAlign w:val="bottom"/>
          </w:tcPr>
          <w:p w14:paraId="0821DA9D">
            <w:pPr>
              <w:spacing w:line="36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lang w:val="en-US" w:eastAsia="zh-CN"/>
              </w:rPr>
              <w:t>辽宁方大总医院招租招商项目-B15</w:t>
            </w:r>
          </w:p>
        </w:tc>
        <w:tc>
          <w:tcPr>
            <w:tcW w:w="1684" w:type="dxa"/>
            <w:shd w:val="clear" w:color="auto" w:fill="auto"/>
            <w:vAlign w:val="bottom"/>
          </w:tcPr>
          <w:p w14:paraId="5277AF9E">
            <w:pPr>
              <w:spacing w:line="36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lang w:val="en-US" w:eastAsia="zh-CN"/>
              </w:rPr>
              <w:t>良好</w:t>
            </w:r>
          </w:p>
        </w:tc>
        <w:tc>
          <w:tcPr>
            <w:tcW w:w="2012" w:type="dxa"/>
            <w:shd w:val="clear" w:color="auto" w:fill="auto"/>
            <w:vAlign w:val="bottom"/>
          </w:tcPr>
          <w:p w14:paraId="305349B7">
            <w:pPr>
              <w:spacing w:line="36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lang w:val="en-US" w:eastAsia="zh-CN"/>
              </w:rPr>
              <w:t>详见下图</w:t>
            </w:r>
          </w:p>
        </w:tc>
      </w:tr>
      <w:tr w14:paraId="371F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4" w:hRule="atLeast"/>
          <w:jc w:val="center"/>
        </w:trPr>
        <w:tc>
          <w:tcPr>
            <w:tcW w:w="7475" w:type="dxa"/>
            <w:gridSpan w:val="3"/>
            <w:vAlign w:val="center"/>
          </w:tcPr>
          <w:p w14:paraId="68B38BAC">
            <w:pPr>
              <w:spacing w:line="360" w:lineRule="auto"/>
              <w:jc w:val="both"/>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szCs w:val="21"/>
                <w:highlight w:val="none"/>
                <w:lang w:eastAsia="zh-CN"/>
              </w:rPr>
              <w:drawing>
                <wp:inline distT="0" distB="0" distL="114300" distR="114300">
                  <wp:extent cx="4598670" cy="2371090"/>
                  <wp:effectExtent l="0" t="0" r="11430" b="10160"/>
                  <wp:docPr id="7" name="图片 7" descr="c0ddb19892db05f1c0036884706396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0ddb19892db05f1c0036884706396d0"/>
                          <pic:cNvPicPr>
                            <a:picLocks noChangeAspect="1"/>
                          </pic:cNvPicPr>
                        </pic:nvPicPr>
                        <pic:blipFill>
                          <a:blip r:embed="rId8"/>
                          <a:stretch>
                            <a:fillRect/>
                          </a:stretch>
                        </pic:blipFill>
                        <pic:spPr>
                          <a:xfrm>
                            <a:off x="0" y="0"/>
                            <a:ext cx="4598670" cy="2371090"/>
                          </a:xfrm>
                          <a:prstGeom prst="rect">
                            <a:avLst/>
                          </a:prstGeom>
                        </pic:spPr>
                      </pic:pic>
                    </a:graphicData>
                  </a:graphic>
                </wp:inline>
              </w:drawing>
            </w:r>
            <w:r>
              <w:rPr>
                <w:rFonts w:hint="eastAsia" w:ascii="仿宋_GB2312" w:hAnsi="仿宋_GB2312" w:eastAsia="仿宋_GB2312" w:cs="仿宋_GB2312"/>
                <w:color w:val="auto"/>
                <w:highlight w:val="none"/>
              </w:rPr>
              <w:t xml:space="preserve"> </w:t>
            </w:r>
          </w:p>
          <w:p w14:paraId="4B4D3D64">
            <w:pPr>
              <w:spacing w:line="360" w:lineRule="auto"/>
              <w:jc w:val="both"/>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drawing>
                <wp:inline distT="0" distB="0" distL="114300" distR="114300">
                  <wp:extent cx="4608195" cy="2623185"/>
                  <wp:effectExtent l="0" t="0" r="1905" b="5715"/>
                  <wp:docPr id="6" name="图片 6" descr="eb97029db67602f3599ce3e5ecaff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b97029db67602f3599ce3e5ecaff377"/>
                          <pic:cNvPicPr>
                            <a:picLocks noChangeAspect="1"/>
                          </pic:cNvPicPr>
                        </pic:nvPicPr>
                        <pic:blipFill>
                          <a:blip r:embed="rId9"/>
                          <a:stretch>
                            <a:fillRect/>
                          </a:stretch>
                        </pic:blipFill>
                        <pic:spPr>
                          <a:xfrm>
                            <a:off x="0" y="0"/>
                            <a:ext cx="4608195" cy="2623185"/>
                          </a:xfrm>
                          <a:prstGeom prst="rect">
                            <a:avLst/>
                          </a:prstGeom>
                        </pic:spPr>
                      </pic:pic>
                    </a:graphicData>
                  </a:graphic>
                </wp:inline>
              </w:drawing>
            </w:r>
          </w:p>
          <w:p w14:paraId="5BB55D15">
            <w:pPr>
              <w:spacing w:line="360" w:lineRule="auto"/>
              <w:jc w:val="both"/>
              <w:rPr>
                <w:rFonts w:hint="eastAsia" w:ascii="仿宋_GB2312" w:hAnsi="仿宋_GB2312" w:eastAsia="仿宋_GB2312" w:cs="仿宋_GB2312"/>
                <w:color w:val="auto"/>
                <w:szCs w:val="21"/>
                <w:highlight w:val="none"/>
              </w:rPr>
            </w:pPr>
          </w:p>
          <w:p w14:paraId="59A37A0F">
            <w:pPr>
              <w:spacing w:line="360" w:lineRule="auto"/>
              <w:jc w:val="both"/>
              <w:rPr>
                <w:rFonts w:hint="eastAsia" w:ascii="仿宋_GB2312" w:hAnsi="仿宋_GB2312" w:eastAsia="仿宋_GB2312" w:cs="仿宋_GB2312"/>
                <w:color w:val="auto"/>
                <w:szCs w:val="21"/>
                <w:highlight w:val="none"/>
              </w:rPr>
            </w:pPr>
          </w:p>
          <w:p w14:paraId="4B848D7C">
            <w:pPr>
              <w:spacing w:line="360" w:lineRule="auto"/>
              <w:jc w:val="both"/>
              <w:rPr>
                <w:rFonts w:hint="eastAsia" w:ascii="仿宋_GB2312" w:hAnsi="仿宋_GB2312" w:eastAsia="仿宋_GB2312" w:cs="仿宋_GB2312"/>
                <w:color w:val="auto"/>
                <w:szCs w:val="21"/>
                <w:highlight w:val="none"/>
              </w:rPr>
            </w:pPr>
          </w:p>
        </w:tc>
      </w:tr>
    </w:tbl>
    <w:p w14:paraId="034973D8">
      <w:pPr>
        <w:spacing w:line="360" w:lineRule="auto"/>
        <w:jc w:val="both"/>
        <w:rPr>
          <w:rFonts w:hint="eastAsia" w:ascii="宋体" w:hAnsi="宋体"/>
          <w:b/>
          <w:color w:val="auto"/>
          <w:szCs w:val="21"/>
          <w:highlight w:val="none"/>
        </w:rPr>
      </w:pPr>
    </w:p>
    <w:p w14:paraId="310C9E3C">
      <w:pPr>
        <w:keepNext w:val="0"/>
        <w:keepLines w:val="0"/>
        <w:pageBreakBefore w:val="0"/>
        <w:kinsoku/>
        <w:wordWrap/>
        <w:overflowPunct/>
        <w:topLinePunct w:val="0"/>
        <w:autoSpaceDE/>
        <w:autoSpaceDN/>
        <w:bidi w:val="0"/>
        <w:adjustRightInd/>
        <w:spacing w:line="560" w:lineRule="exact"/>
        <w:jc w:val="both"/>
        <w:textAlignment w:val="auto"/>
        <w:rPr>
          <w:rFonts w:hint="eastAsia" w:ascii="宋体" w:hAnsi="宋体" w:eastAsia="宋体" w:cs="宋体"/>
          <w:b/>
          <w:bCs/>
          <w:color w:val="auto"/>
          <w:sz w:val="32"/>
          <w:szCs w:val="32"/>
          <w:highlight w:val="none"/>
        </w:rPr>
      </w:pPr>
    </w:p>
    <w:p w14:paraId="6589EB3D">
      <w:pPr>
        <w:keepNext w:val="0"/>
        <w:keepLines w:val="0"/>
        <w:pageBreakBefore w:val="0"/>
        <w:kinsoku/>
        <w:wordWrap/>
        <w:overflowPunct/>
        <w:topLinePunct w:val="0"/>
        <w:autoSpaceDE/>
        <w:autoSpaceDN/>
        <w:bidi w:val="0"/>
        <w:adjustRightInd/>
        <w:spacing w:line="560" w:lineRule="exact"/>
        <w:jc w:val="both"/>
        <w:textAlignment w:val="auto"/>
        <w:rPr>
          <w:b/>
          <w:bCs/>
          <w:color w:val="auto"/>
          <w:sz w:val="32"/>
          <w:szCs w:val="32"/>
          <w:highlight w:val="none"/>
        </w:rPr>
      </w:pPr>
      <w:r>
        <w:rPr>
          <w:rFonts w:hint="eastAsia" w:ascii="宋体" w:hAnsi="宋体" w:eastAsia="宋体" w:cs="宋体"/>
          <w:b/>
          <w:bCs/>
          <w:color w:val="auto"/>
          <w:sz w:val="32"/>
          <w:szCs w:val="32"/>
          <w:highlight w:val="none"/>
        </w:rPr>
        <w:t>附件</w:t>
      </w:r>
      <w:r>
        <w:rPr>
          <w:rFonts w:hint="eastAsia" w:ascii="宋体" w:hAnsi="宋体" w:cs="宋体"/>
          <w:b/>
          <w:bCs/>
          <w:color w:val="auto"/>
          <w:sz w:val="32"/>
          <w:szCs w:val="32"/>
          <w:highlight w:val="none"/>
          <w:lang w:val="en-US" w:eastAsia="zh-CN"/>
        </w:rPr>
        <w:t>5</w:t>
      </w:r>
    </w:p>
    <w:p w14:paraId="6BC2BD45">
      <w:pPr>
        <w:spacing w:line="480" w:lineRule="exact"/>
        <w:ind w:firstLine="3092" w:firstLineChars="700"/>
        <w:jc w:val="both"/>
        <w:rPr>
          <w:rFonts w:hint="eastAsia" w:ascii="仿宋_GB2312" w:hAnsi="仿宋_GB2312" w:eastAsia="仿宋_GB2312" w:cs="仿宋_GB2312"/>
          <w:sz w:val="24"/>
        </w:rPr>
      </w:pPr>
      <w:r>
        <w:rPr>
          <w:rFonts w:hint="eastAsia" w:ascii="小标宋" w:hAnsi="小标宋" w:eastAsia="小标宋" w:cs="小标宋"/>
          <w:b/>
          <w:bCs/>
          <w:sz w:val="44"/>
          <w:szCs w:val="44"/>
          <w:lang w:val="en-US" w:eastAsia="zh-CN"/>
        </w:rPr>
        <w:t>廉政协议书</w:t>
      </w:r>
    </w:p>
    <w:p w14:paraId="30D26E55">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甲方：辽宁方大</w:t>
      </w:r>
      <w:r>
        <w:rPr>
          <w:rFonts w:hint="eastAsia" w:ascii="仿宋_GB2312" w:hAnsi="仿宋_GB2312" w:eastAsia="仿宋_GB2312" w:cs="仿宋_GB2312"/>
          <w:sz w:val="24"/>
          <w:lang w:val="en-US" w:eastAsia="zh-CN"/>
        </w:rPr>
        <w:t>总</w:t>
      </w:r>
      <w:r>
        <w:rPr>
          <w:rFonts w:hint="eastAsia" w:ascii="仿宋_GB2312" w:hAnsi="仿宋_GB2312" w:eastAsia="仿宋_GB2312" w:cs="仿宋_GB2312"/>
          <w:sz w:val="24"/>
        </w:rPr>
        <w:t>医院有限公司</w:t>
      </w:r>
    </w:p>
    <w:p w14:paraId="1D509449">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乙方：</w:t>
      </w:r>
    </w:p>
    <w:p w14:paraId="4A779177">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为进一步规范协议双方的业务活动行为，保证双方经济合作关系正常健康发展，实现廉洁、公平、共赢之目的，现遵循业务往来中的诚信、公平原则，结合双方业务合作实际，特订立本协议。</w:t>
      </w:r>
    </w:p>
    <w:p w14:paraId="20C4AC07">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第一条  自觉遵守国家法律法规，按照《中华人民共和国民法典》《中华人民共和国产品质量法》《中华人民共和国反不正当竞争法》等相关法律法规，遵循诚信、公平的原则开展经营业务活动。</w:t>
      </w:r>
    </w:p>
    <w:p w14:paraId="5792C07F">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第二条  双方均不得有违反商业道德、扰乱正常市场竞争秩序、泄露对方商业秘密、损害对方利益及企业形象，以及排挤其他经营者的不公平竞争等行为。</w:t>
      </w:r>
    </w:p>
    <w:p w14:paraId="539A0A4B">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第三条  甲方工作人员（或其亲属）不得收受乙方馈送的财物</w:t>
      </w:r>
      <w:r>
        <w:rPr>
          <w:rFonts w:hint="eastAsia" w:ascii="仿宋_GB2312" w:hAnsi="仿宋_GB2312" w:eastAsia="仿宋_GB2312" w:cs="仿宋_GB2312"/>
          <w:sz w:val="24"/>
          <w:lang w:eastAsia="zh-CN"/>
        </w:rPr>
        <w:t>或</w:t>
      </w:r>
      <w:r>
        <w:rPr>
          <w:rFonts w:hint="eastAsia" w:ascii="仿宋_GB2312" w:hAnsi="仿宋_GB2312" w:eastAsia="仿宋_GB2312" w:cs="仿宋_GB2312"/>
          <w:sz w:val="24"/>
        </w:rPr>
        <w:t>有价证券等；不得介绍亲友从事与双方合作有关的业务活动。</w:t>
      </w:r>
    </w:p>
    <w:p w14:paraId="5E329449">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第四条  乙方及其工作人员，不得向甲方工作人员的亲属或亲朋好友输送各种利益；甲方工作人员不得利用职务或工作便利，为自己的亲属或亲朋好友从乙方及其工作人员处谋取不正当利益。</w:t>
      </w:r>
    </w:p>
    <w:p w14:paraId="3FB885CC">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第五条  乙方及其工作人员不得为甲方工作人员长期无偿提供或使用通讯工具和交通工具；不得以技术、劳务、投资或其他任何形式，向甲方工作人员支付挂名工资、佣金报酬、回扣、股份和红利等。</w:t>
      </w:r>
    </w:p>
    <w:p w14:paraId="027BA757">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第六条  乙方若存在围标、串标、提供虚假资质、业绩材料等不正当竞争行为，或掺杂掺假、以次充好、供应假冒伪劣物资，或承包工程偷工减料、虚增工作量、重复结算，或伪造甲方印章等涉嫌侵害甲方利益的不诚信经营行为，甲方有权暂停支付乙方款项（包括但不限于履约保证金、质保金、货款及工程款等），并有权单方面解除协议，取消乙方的供应商（合作方）资格。乙方同意承担给甲方造成的损失（包括但不限于甲方的经济损失及差旅费、诉讼费、律师费、保全费、公证费、鉴定费等），并消除对甲方造成的不良社会影响。若情节严重，涉嫌犯罪的，移送司法机关处理。</w:t>
      </w:r>
    </w:p>
    <w:p w14:paraId="61AA0B9B">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乙方及其工作人员违反本协议约定，给甲方造成的损失均由乙方承担，甲方有权从应支付给乙方的款项或履约保证金、质保金中扣除。</w:t>
      </w:r>
    </w:p>
    <w:p w14:paraId="7B405FCE">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第七条  具体赔偿（处罚）标准：</w:t>
      </w:r>
    </w:p>
    <w:p w14:paraId="11DACD02">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1、造成甲方实际经济损失，乙方按损失金额的1-10倍进行赔偿，由甲方视情节、性质及严重程度等情况确定。</w:t>
      </w:r>
    </w:p>
    <w:p w14:paraId="2FA7440E">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2、甲方经济损失未实际发生，乙方同意承担3万元-30万元诚信处罚金，由甲方视情节、性质及严重程度等情况确定。</w:t>
      </w:r>
    </w:p>
    <w:p w14:paraId="6F0AFA81">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3、侵犯甲方的公司名称权或对甲方社会名誉造成不良影响的，按10万元-30万元进行赔偿，由甲方视情节、性质及严重程度等情况确定。</w:t>
      </w:r>
    </w:p>
    <w:p w14:paraId="6D25BC7D">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第八条  本协议中乙方应承担的赔偿责任若与双方签订的业务协议中违约赔偿责任存在重复之处，采用就高不就低的原则执行。</w:t>
      </w:r>
    </w:p>
    <w:p w14:paraId="3F0D0926">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第九条  本协议作为双方所签订合同的必要附件，是合同的重要组成部分，具有同等法律效力，在甲乙双方经济业务往来存续期间有效。</w:t>
      </w:r>
    </w:p>
    <w:p w14:paraId="1AC9131B">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第十条  本协议一式2份，甲方执1份，乙方执1份，自双方盖章后生效。</w:t>
      </w:r>
    </w:p>
    <w:p w14:paraId="022EEE16">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（以下无正文）</w:t>
      </w:r>
    </w:p>
    <w:p w14:paraId="7119DB1C">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甲方（盖章）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乙方（盖章）</w:t>
      </w:r>
    </w:p>
    <w:p w14:paraId="62CD7057">
      <w:pPr>
        <w:spacing w:line="480" w:lineRule="exact"/>
        <w:ind w:firstLine="480" w:firstLineChars="200"/>
        <w:rPr>
          <w:rFonts w:hint="eastAsia" w:ascii="仿宋_GB2312" w:hAnsi="仿宋_GB2312" w:eastAsia="仿宋_GB2312" w:cs="仿宋_GB2312"/>
          <w:sz w:val="24"/>
        </w:rPr>
      </w:pPr>
    </w:p>
    <w:p w14:paraId="1F11E6CD">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签 约 人：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签 约 人：</w:t>
      </w:r>
    </w:p>
    <w:p w14:paraId="29E4E53A">
      <w:pPr>
        <w:spacing w:line="480" w:lineRule="exact"/>
        <w:ind w:firstLine="480" w:firstLineChars="200"/>
        <w:rPr>
          <w:rFonts w:hint="eastAsia" w:ascii="仿宋_GB2312" w:hAnsi="仿宋_GB2312" w:eastAsia="仿宋_GB2312" w:cs="仿宋_GB2312"/>
          <w:sz w:val="24"/>
        </w:rPr>
      </w:pPr>
    </w:p>
    <w:p w14:paraId="3DBA2CE4">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签约时间：</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签约时间：</w:t>
      </w:r>
      <w:bookmarkStart w:id="0" w:name="_GoBack"/>
      <w:bookmarkEnd w:id="0"/>
    </w:p>
    <w:p w14:paraId="56CCDED3">
      <w:pPr>
        <w:ind w:firstLine="420" w:firstLineChars="200"/>
        <w:rPr>
          <w:rFonts w:hint="eastAsia" w:ascii="仿宋_GB2312" w:hAnsi="仿宋_GB2312" w:eastAsia="仿宋_GB2312" w:cs="仿宋_GB2312"/>
        </w:rPr>
      </w:pPr>
    </w:p>
    <w:p w14:paraId="45FDC264">
      <w:pPr>
        <w:spacing w:line="360" w:lineRule="auto"/>
        <w:jc w:val="both"/>
        <w:rPr>
          <w:rFonts w:hint="eastAsia" w:ascii="宋体" w:hAnsi="宋体"/>
          <w:color w:val="auto"/>
          <w:kern w:val="0"/>
          <w:szCs w:val="21"/>
          <w:highlight w:val="none"/>
        </w:rPr>
      </w:pPr>
    </w:p>
    <w:p w14:paraId="3048648C">
      <w:pPr>
        <w:spacing w:line="360" w:lineRule="auto"/>
        <w:jc w:val="both"/>
        <w:rPr>
          <w:rFonts w:hint="eastAsia" w:ascii="宋体" w:hAnsi="宋体"/>
          <w:color w:val="auto"/>
          <w:kern w:val="0"/>
          <w:szCs w:val="21"/>
          <w:highlight w:val="none"/>
        </w:rPr>
      </w:pPr>
    </w:p>
    <w:sectPr>
      <w:headerReference r:id="rId3" w:type="default"/>
      <w:footerReference r:id="rId4" w:type="default"/>
      <w:pgSz w:w="11906" w:h="16838"/>
      <w:pgMar w:top="1440" w:right="1797" w:bottom="1440" w:left="1797" w:header="851" w:footer="992" w:gutter="0"/>
      <w:pgNumType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auto"/>
    <w:pitch w:val="default"/>
    <w:sig w:usb0="00000001" w:usb1="080E0000" w:usb2="00000000" w:usb3="00000000" w:csb0="00040000" w:csb1="00000000"/>
    <w:embedRegular r:id="rId1" w:fontKey="{A114CD2F-8BA0-47B2-8D3F-B906BD538501}"/>
  </w:font>
  <w:font w:name="仿宋_GB2312">
    <w:panose1 w:val="02010609030101010101"/>
    <w:charset w:val="86"/>
    <w:family w:val="auto"/>
    <w:pitch w:val="default"/>
    <w:sig w:usb0="00000001" w:usb1="080E0000" w:usb2="00000000" w:usb3="00000000" w:csb0="00040000" w:csb1="00000000"/>
    <w:embedRegular r:id="rId2" w:fontKey="{84FA16AF-D7BE-4867-A08F-7127CCDF8D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C47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6A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3B596A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1D3FB">
    <w:pPr>
      <w:pStyle w:val="6"/>
      <w:pBdr>
        <w:bottom w:val="none" w:color="auto" w:sz="0" w:space="1"/>
      </w:pBdr>
      <w:jc w:val="both"/>
    </w:pPr>
    <w:r>
      <w:rPr>
        <w:rFonts w:hint="eastAsia" w:ascii="宋体"/>
        <w:b/>
        <w:spacing w:val="20"/>
        <w:sz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23"/>
      <w:numFmt w:val="chineseCountingThousand"/>
      <w:lvlText w:val="第%1条  "/>
      <w:lvlJc w:val="left"/>
      <w:pPr>
        <w:tabs>
          <w:tab w:val="left" w:pos="1140"/>
        </w:tabs>
        <w:ind w:left="84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D"/>
    <w:multiLevelType w:val="multilevel"/>
    <w:tmpl w:val="0000000D"/>
    <w:lvl w:ilvl="0" w:tentative="0">
      <w:start w:val="1"/>
      <w:numFmt w:val="chineseCountingThousand"/>
      <w:lvlText w:val="第%1条  "/>
      <w:lvlJc w:val="left"/>
      <w:pPr>
        <w:tabs>
          <w:tab w:val="left" w:pos="1140"/>
        </w:tabs>
        <w:ind w:left="840" w:hanging="420"/>
      </w:pPr>
    </w:lvl>
    <w:lvl w:ilvl="1" w:tentative="0">
      <w:start w:val="1"/>
      <w:numFmt w:val="decimal"/>
      <w:lvlText w:val="1.%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39159C"/>
    <w:rsid w:val="00015310"/>
    <w:rsid w:val="00043234"/>
    <w:rsid w:val="00043F7C"/>
    <w:rsid w:val="0006025C"/>
    <w:rsid w:val="000B6202"/>
    <w:rsid w:val="00106969"/>
    <w:rsid w:val="0010744F"/>
    <w:rsid w:val="00116250"/>
    <w:rsid w:val="00150E77"/>
    <w:rsid w:val="00155208"/>
    <w:rsid w:val="0016060D"/>
    <w:rsid w:val="00166043"/>
    <w:rsid w:val="001C3F3F"/>
    <w:rsid w:val="00202B8E"/>
    <w:rsid w:val="00204B89"/>
    <w:rsid w:val="0027036B"/>
    <w:rsid w:val="00273064"/>
    <w:rsid w:val="00274567"/>
    <w:rsid w:val="00296CB8"/>
    <w:rsid w:val="002C2625"/>
    <w:rsid w:val="002D5990"/>
    <w:rsid w:val="002E2D0C"/>
    <w:rsid w:val="00320996"/>
    <w:rsid w:val="003431F2"/>
    <w:rsid w:val="00362BE0"/>
    <w:rsid w:val="0036343D"/>
    <w:rsid w:val="0039159C"/>
    <w:rsid w:val="003C5E7D"/>
    <w:rsid w:val="003D2AAD"/>
    <w:rsid w:val="003E4010"/>
    <w:rsid w:val="00404355"/>
    <w:rsid w:val="00412070"/>
    <w:rsid w:val="004204A8"/>
    <w:rsid w:val="0043243F"/>
    <w:rsid w:val="00443363"/>
    <w:rsid w:val="00486C97"/>
    <w:rsid w:val="0049090F"/>
    <w:rsid w:val="00502D88"/>
    <w:rsid w:val="00520AA9"/>
    <w:rsid w:val="00535970"/>
    <w:rsid w:val="00594287"/>
    <w:rsid w:val="005C5715"/>
    <w:rsid w:val="005E6678"/>
    <w:rsid w:val="00635195"/>
    <w:rsid w:val="006524F9"/>
    <w:rsid w:val="006D5EF8"/>
    <w:rsid w:val="00755508"/>
    <w:rsid w:val="007C1326"/>
    <w:rsid w:val="00831F11"/>
    <w:rsid w:val="00856592"/>
    <w:rsid w:val="00871423"/>
    <w:rsid w:val="00873D3D"/>
    <w:rsid w:val="008D5DB6"/>
    <w:rsid w:val="008F79B2"/>
    <w:rsid w:val="00905BD2"/>
    <w:rsid w:val="00935DA7"/>
    <w:rsid w:val="0096240F"/>
    <w:rsid w:val="00963C29"/>
    <w:rsid w:val="0098656E"/>
    <w:rsid w:val="00992E5A"/>
    <w:rsid w:val="009B3B62"/>
    <w:rsid w:val="009B5EF4"/>
    <w:rsid w:val="009E32CE"/>
    <w:rsid w:val="009F7D1D"/>
    <w:rsid w:val="00A01891"/>
    <w:rsid w:val="00A72ABF"/>
    <w:rsid w:val="00A84FA9"/>
    <w:rsid w:val="00A87FC5"/>
    <w:rsid w:val="00AC189C"/>
    <w:rsid w:val="00AE3DE6"/>
    <w:rsid w:val="00B40764"/>
    <w:rsid w:val="00B548BB"/>
    <w:rsid w:val="00B736A1"/>
    <w:rsid w:val="00BA394D"/>
    <w:rsid w:val="00C27784"/>
    <w:rsid w:val="00C30807"/>
    <w:rsid w:val="00C40B8D"/>
    <w:rsid w:val="00C6040A"/>
    <w:rsid w:val="00C629D0"/>
    <w:rsid w:val="00C85413"/>
    <w:rsid w:val="00C863F7"/>
    <w:rsid w:val="00CC3060"/>
    <w:rsid w:val="00CC6161"/>
    <w:rsid w:val="00CD763C"/>
    <w:rsid w:val="00D062AD"/>
    <w:rsid w:val="00D075D5"/>
    <w:rsid w:val="00DA6B5C"/>
    <w:rsid w:val="00DC2AD8"/>
    <w:rsid w:val="00DF314B"/>
    <w:rsid w:val="00DF5566"/>
    <w:rsid w:val="00E12CD8"/>
    <w:rsid w:val="00E76A56"/>
    <w:rsid w:val="00E81C30"/>
    <w:rsid w:val="00E82ABD"/>
    <w:rsid w:val="00EA47B1"/>
    <w:rsid w:val="00EA6D9B"/>
    <w:rsid w:val="00EB0370"/>
    <w:rsid w:val="00EE0340"/>
    <w:rsid w:val="00EF5E56"/>
    <w:rsid w:val="00F14C0A"/>
    <w:rsid w:val="00F20131"/>
    <w:rsid w:val="00F358E2"/>
    <w:rsid w:val="00F43F51"/>
    <w:rsid w:val="00F82E99"/>
    <w:rsid w:val="00FA1359"/>
    <w:rsid w:val="00FA5D9F"/>
    <w:rsid w:val="00FB4409"/>
    <w:rsid w:val="00FD0748"/>
    <w:rsid w:val="01255416"/>
    <w:rsid w:val="012A66FE"/>
    <w:rsid w:val="014F4893"/>
    <w:rsid w:val="02351CE6"/>
    <w:rsid w:val="027C16B8"/>
    <w:rsid w:val="03315841"/>
    <w:rsid w:val="034026E5"/>
    <w:rsid w:val="035166A0"/>
    <w:rsid w:val="037353FF"/>
    <w:rsid w:val="03802AE2"/>
    <w:rsid w:val="039D18E6"/>
    <w:rsid w:val="03A3335F"/>
    <w:rsid w:val="03AC1B29"/>
    <w:rsid w:val="03AE5E66"/>
    <w:rsid w:val="03B60BF9"/>
    <w:rsid w:val="04583A5F"/>
    <w:rsid w:val="049A4E6F"/>
    <w:rsid w:val="050414F1"/>
    <w:rsid w:val="056326BB"/>
    <w:rsid w:val="060E0CB4"/>
    <w:rsid w:val="06BF7DC5"/>
    <w:rsid w:val="06C90C44"/>
    <w:rsid w:val="071C59E9"/>
    <w:rsid w:val="076C51A7"/>
    <w:rsid w:val="07CD6512"/>
    <w:rsid w:val="08332819"/>
    <w:rsid w:val="08400A92"/>
    <w:rsid w:val="086E1AA3"/>
    <w:rsid w:val="0891340C"/>
    <w:rsid w:val="08963939"/>
    <w:rsid w:val="091F2D9D"/>
    <w:rsid w:val="09292D87"/>
    <w:rsid w:val="09734E97"/>
    <w:rsid w:val="0ABC4CBC"/>
    <w:rsid w:val="0B8D2240"/>
    <w:rsid w:val="0C2030B4"/>
    <w:rsid w:val="0C211C94"/>
    <w:rsid w:val="0DA27AF9"/>
    <w:rsid w:val="0EA862F1"/>
    <w:rsid w:val="0EF03D0B"/>
    <w:rsid w:val="0F8751F8"/>
    <w:rsid w:val="0F95542D"/>
    <w:rsid w:val="0FCE2E27"/>
    <w:rsid w:val="0FD7617F"/>
    <w:rsid w:val="109B53FF"/>
    <w:rsid w:val="10BE0266"/>
    <w:rsid w:val="111F7DDE"/>
    <w:rsid w:val="11DD2EDC"/>
    <w:rsid w:val="11DE3167"/>
    <w:rsid w:val="11EB54C3"/>
    <w:rsid w:val="124473D0"/>
    <w:rsid w:val="12665599"/>
    <w:rsid w:val="12AD38BB"/>
    <w:rsid w:val="134E6759"/>
    <w:rsid w:val="136441CE"/>
    <w:rsid w:val="13D6674E"/>
    <w:rsid w:val="148D32B1"/>
    <w:rsid w:val="15035321"/>
    <w:rsid w:val="15724254"/>
    <w:rsid w:val="15AF54A9"/>
    <w:rsid w:val="15F31839"/>
    <w:rsid w:val="1638549E"/>
    <w:rsid w:val="167C538B"/>
    <w:rsid w:val="16E44C4A"/>
    <w:rsid w:val="16E66CA8"/>
    <w:rsid w:val="17321EED"/>
    <w:rsid w:val="17E256C1"/>
    <w:rsid w:val="18363C5F"/>
    <w:rsid w:val="183D3DB6"/>
    <w:rsid w:val="18CC17C3"/>
    <w:rsid w:val="190D676E"/>
    <w:rsid w:val="1970104A"/>
    <w:rsid w:val="1A976C37"/>
    <w:rsid w:val="1B2D637F"/>
    <w:rsid w:val="1B336842"/>
    <w:rsid w:val="1BA17641"/>
    <w:rsid w:val="1C0227D6"/>
    <w:rsid w:val="1C316062"/>
    <w:rsid w:val="1CA10E81"/>
    <w:rsid w:val="1D3201F7"/>
    <w:rsid w:val="1D321329"/>
    <w:rsid w:val="1DC53ABB"/>
    <w:rsid w:val="1DFE0D7B"/>
    <w:rsid w:val="1E3F3B58"/>
    <w:rsid w:val="1E8F7C25"/>
    <w:rsid w:val="1EDD6BE3"/>
    <w:rsid w:val="1EE86942"/>
    <w:rsid w:val="1F6B0692"/>
    <w:rsid w:val="1FD02D03"/>
    <w:rsid w:val="200C6158"/>
    <w:rsid w:val="202C7E22"/>
    <w:rsid w:val="20A756FA"/>
    <w:rsid w:val="20AA51EA"/>
    <w:rsid w:val="20FD17BE"/>
    <w:rsid w:val="21E33248"/>
    <w:rsid w:val="228B40B9"/>
    <w:rsid w:val="22995516"/>
    <w:rsid w:val="23007343"/>
    <w:rsid w:val="23100FE1"/>
    <w:rsid w:val="233B65CE"/>
    <w:rsid w:val="23ED05D5"/>
    <w:rsid w:val="2446347C"/>
    <w:rsid w:val="247B4ED4"/>
    <w:rsid w:val="24991130"/>
    <w:rsid w:val="24B96302"/>
    <w:rsid w:val="25A61214"/>
    <w:rsid w:val="25DF76E4"/>
    <w:rsid w:val="261559F4"/>
    <w:rsid w:val="26C8461C"/>
    <w:rsid w:val="26C92F90"/>
    <w:rsid w:val="2714095F"/>
    <w:rsid w:val="2749750B"/>
    <w:rsid w:val="27900B35"/>
    <w:rsid w:val="27D52ACE"/>
    <w:rsid w:val="28247630"/>
    <w:rsid w:val="28341AF8"/>
    <w:rsid w:val="286E4D4F"/>
    <w:rsid w:val="28CB4B2F"/>
    <w:rsid w:val="295403E9"/>
    <w:rsid w:val="2987256D"/>
    <w:rsid w:val="29F0536A"/>
    <w:rsid w:val="2A627D48"/>
    <w:rsid w:val="2A790DDA"/>
    <w:rsid w:val="2A830A7F"/>
    <w:rsid w:val="2AB52179"/>
    <w:rsid w:val="2B430715"/>
    <w:rsid w:val="2C2A3701"/>
    <w:rsid w:val="2C4B5763"/>
    <w:rsid w:val="2C55425C"/>
    <w:rsid w:val="2C5B55EB"/>
    <w:rsid w:val="2CAD22EA"/>
    <w:rsid w:val="2D2044A4"/>
    <w:rsid w:val="2DA57465"/>
    <w:rsid w:val="2DB33930"/>
    <w:rsid w:val="2E886C68"/>
    <w:rsid w:val="2EC8145A"/>
    <w:rsid w:val="2ED7364E"/>
    <w:rsid w:val="2EE4145B"/>
    <w:rsid w:val="2F5E5B1E"/>
    <w:rsid w:val="2F9B28CE"/>
    <w:rsid w:val="30071D11"/>
    <w:rsid w:val="30A25EDE"/>
    <w:rsid w:val="30C65260"/>
    <w:rsid w:val="30CB2D84"/>
    <w:rsid w:val="31496359"/>
    <w:rsid w:val="315076E8"/>
    <w:rsid w:val="3203310A"/>
    <w:rsid w:val="32146967"/>
    <w:rsid w:val="3237624E"/>
    <w:rsid w:val="32441D98"/>
    <w:rsid w:val="32943604"/>
    <w:rsid w:val="32D03D1A"/>
    <w:rsid w:val="33092244"/>
    <w:rsid w:val="33D97E69"/>
    <w:rsid w:val="343E5F1E"/>
    <w:rsid w:val="34980A97"/>
    <w:rsid w:val="34A80A14"/>
    <w:rsid w:val="35123632"/>
    <w:rsid w:val="352275ED"/>
    <w:rsid w:val="35411821"/>
    <w:rsid w:val="3569521C"/>
    <w:rsid w:val="35CD1EB6"/>
    <w:rsid w:val="36010FB1"/>
    <w:rsid w:val="362C0724"/>
    <w:rsid w:val="3659703F"/>
    <w:rsid w:val="36B6623F"/>
    <w:rsid w:val="36CA1CEB"/>
    <w:rsid w:val="36D16BD5"/>
    <w:rsid w:val="379540A7"/>
    <w:rsid w:val="37EA2644"/>
    <w:rsid w:val="37FE7E9E"/>
    <w:rsid w:val="3825542A"/>
    <w:rsid w:val="387B504A"/>
    <w:rsid w:val="38E37913"/>
    <w:rsid w:val="393B53E7"/>
    <w:rsid w:val="39B50A30"/>
    <w:rsid w:val="39CE38A0"/>
    <w:rsid w:val="39FC1119"/>
    <w:rsid w:val="3ACD1DA9"/>
    <w:rsid w:val="3B8763FC"/>
    <w:rsid w:val="3BAC0FC5"/>
    <w:rsid w:val="3CCF578C"/>
    <w:rsid w:val="3CDC1C5B"/>
    <w:rsid w:val="3CE27D8E"/>
    <w:rsid w:val="3D1D5B45"/>
    <w:rsid w:val="3D4A148F"/>
    <w:rsid w:val="3DB17760"/>
    <w:rsid w:val="3DBD4357"/>
    <w:rsid w:val="3DD82F3F"/>
    <w:rsid w:val="3DFF1DEB"/>
    <w:rsid w:val="3E8F7AA2"/>
    <w:rsid w:val="3EA467BB"/>
    <w:rsid w:val="3EAB2402"/>
    <w:rsid w:val="3F8B2DF8"/>
    <w:rsid w:val="3F9D1D4A"/>
    <w:rsid w:val="40443B57"/>
    <w:rsid w:val="424F3209"/>
    <w:rsid w:val="42701998"/>
    <w:rsid w:val="42CB56C2"/>
    <w:rsid w:val="436B215F"/>
    <w:rsid w:val="43C006FD"/>
    <w:rsid w:val="43D63A7D"/>
    <w:rsid w:val="43F7D57E"/>
    <w:rsid w:val="440C749E"/>
    <w:rsid w:val="442C18EF"/>
    <w:rsid w:val="44EC107E"/>
    <w:rsid w:val="453942C3"/>
    <w:rsid w:val="4565330A"/>
    <w:rsid w:val="45AD1B81"/>
    <w:rsid w:val="460C7C2A"/>
    <w:rsid w:val="46172A7D"/>
    <w:rsid w:val="463D4D16"/>
    <w:rsid w:val="46674E60"/>
    <w:rsid w:val="46FF385B"/>
    <w:rsid w:val="4703102D"/>
    <w:rsid w:val="471A6376"/>
    <w:rsid w:val="474B0F4E"/>
    <w:rsid w:val="476B051A"/>
    <w:rsid w:val="47AC3472"/>
    <w:rsid w:val="48645AFB"/>
    <w:rsid w:val="48A03AA8"/>
    <w:rsid w:val="48CF322E"/>
    <w:rsid w:val="493B079C"/>
    <w:rsid w:val="495C67D2"/>
    <w:rsid w:val="497E0C9D"/>
    <w:rsid w:val="4981092F"/>
    <w:rsid w:val="49E35145"/>
    <w:rsid w:val="49EF3AEA"/>
    <w:rsid w:val="4A513E5D"/>
    <w:rsid w:val="4A5971B6"/>
    <w:rsid w:val="4A6A3171"/>
    <w:rsid w:val="4ABB577A"/>
    <w:rsid w:val="4AEE5B50"/>
    <w:rsid w:val="4AFA62A3"/>
    <w:rsid w:val="4B1F3F5B"/>
    <w:rsid w:val="4B412124"/>
    <w:rsid w:val="4B6127C6"/>
    <w:rsid w:val="4BC44B03"/>
    <w:rsid w:val="4BD5286C"/>
    <w:rsid w:val="4BE07B8E"/>
    <w:rsid w:val="4C5A457E"/>
    <w:rsid w:val="4C9E7102"/>
    <w:rsid w:val="4CED5941"/>
    <w:rsid w:val="4CF82CB6"/>
    <w:rsid w:val="4DBA7F6B"/>
    <w:rsid w:val="4EAC0EC6"/>
    <w:rsid w:val="4EC25DA1"/>
    <w:rsid w:val="4F4246BC"/>
    <w:rsid w:val="4FCD042A"/>
    <w:rsid w:val="508C2D55"/>
    <w:rsid w:val="50991EE7"/>
    <w:rsid w:val="50E25461"/>
    <w:rsid w:val="50F7764E"/>
    <w:rsid w:val="51126EBB"/>
    <w:rsid w:val="51A41C74"/>
    <w:rsid w:val="52614E59"/>
    <w:rsid w:val="52885634"/>
    <w:rsid w:val="53895131"/>
    <w:rsid w:val="539D3210"/>
    <w:rsid w:val="53B400B5"/>
    <w:rsid w:val="54C811C0"/>
    <w:rsid w:val="55234918"/>
    <w:rsid w:val="56351035"/>
    <w:rsid w:val="56953761"/>
    <w:rsid w:val="56C836F9"/>
    <w:rsid w:val="56D06A51"/>
    <w:rsid w:val="56EB73E7"/>
    <w:rsid w:val="57A557E8"/>
    <w:rsid w:val="57D8796C"/>
    <w:rsid w:val="58DE5456"/>
    <w:rsid w:val="592144C8"/>
    <w:rsid w:val="59455A14"/>
    <w:rsid w:val="59AD6BD6"/>
    <w:rsid w:val="59BB12F3"/>
    <w:rsid w:val="59D061B8"/>
    <w:rsid w:val="5A2C21F1"/>
    <w:rsid w:val="5A7E449A"/>
    <w:rsid w:val="5AE14D89"/>
    <w:rsid w:val="5B1E0489"/>
    <w:rsid w:val="5BDB6BBE"/>
    <w:rsid w:val="5C2E04A2"/>
    <w:rsid w:val="5C5B500F"/>
    <w:rsid w:val="5CB52971"/>
    <w:rsid w:val="5CC511FB"/>
    <w:rsid w:val="5CD438A6"/>
    <w:rsid w:val="5CD43EAD"/>
    <w:rsid w:val="5D1908DD"/>
    <w:rsid w:val="5D2252A3"/>
    <w:rsid w:val="5D2E002E"/>
    <w:rsid w:val="5DAB167E"/>
    <w:rsid w:val="5E547F68"/>
    <w:rsid w:val="5EA42C9D"/>
    <w:rsid w:val="5F3F800D"/>
    <w:rsid w:val="5F9F3465"/>
    <w:rsid w:val="61F96E5C"/>
    <w:rsid w:val="629D3C8C"/>
    <w:rsid w:val="62B72874"/>
    <w:rsid w:val="635C3B47"/>
    <w:rsid w:val="63807109"/>
    <w:rsid w:val="63E47698"/>
    <w:rsid w:val="64393E88"/>
    <w:rsid w:val="64406FC4"/>
    <w:rsid w:val="648C2B5F"/>
    <w:rsid w:val="64A87C2F"/>
    <w:rsid w:val="64D10D3E"/>
    <w:rsid w:val="6531690D"/>
    <w:rsid w:val="65646CE3"/>
    <w:rsid w:val="65EE47FE"/>
    <w:rsid w:val="665A1E94"/>
    <w:rsid w:val="6683763C"/>
    <w:rsid w:val="66AF3F8D"/>
    <w:rsid w:val="66EF6A80"/>
    <w:rsid w:val="66FB7B2A"/>
    <w:rsid w:val="670047E9"/>
    <w:rsid w:val="6732696D"/>
    <w:rsid w:val="67354BA9"/>
    <w:rsid w:val="67380427"/>
    <w:rsid w:val="67580AC9"/>
    <w:rsid w:val="68394457"/>
    <w:rsid w:val="687F5939"/>
    <w:rsid w:val="68836BFF"/>
    <w:rsid w:val="68B901C4"/>
    <w:rsid w:val="68BE2BAE"/>
    <w:rsid w:val="68D45F2D"/>
    <w:rsid w:val="69456E2B"/>
    <w:rsid w:val="69643755"/>
    <w:rsid w:val="69E44896"/>
    <w:rsid w:val="6A0665BA"/>
    <w:rsid w:val="6A295511"/>
    <w:rsid w:val="6A95793E"/>
    <w:rsid w:val="6B142F59"/>
    <w:rsid w:val="6B4F5D3F"/>
    <w:rsid w:val="6C1D408F"/>
    <w:rsid w:val="6C2B055A"/>
    <w:rsid w:val="6DC073D3"/>
    <w:rsid w:val="6E225077"/>
    <w:rsid w:val="6ED36C87"/>
    <w:rsid w:val="6F335B26"/>
    <w:rsid w:val="6F5766F0"/>
    <w:rsid w:val="6FDE3B35"/>
    <w:rsid w:val="701933AF"/>
    <w:rsid w:val="709A4CCB"/>
    <w:rsid w:val="70A66512"/>
    <w:rsid w:val="70A97C9F"/>
    <w:rsid w:val="70B07280"/>
    <w:rsid w:val="70C42D2B"/>
    <w:rsid w:val="711A0B9D"/>
    <w:rsid w:val="712F289B"/>
    <w:rsid w:val="715220E5"/>
    <w:rsid w:val="71D92806"/>
    <w:rsid w:val="71DA5196"/>
    <w:rsid w:val="71E35433"/>
    <w:rsid w:val="71E847F7"/>
    <w:rsid w:val="71EC5903"/>
    <w:rsid w:val="7203197E"/>
    <w:rsid w:val="7214383E"/>
    <w:rsid w:val="73121954"/>
    <w:rsid w:val="73B01775"/>
    <w:rsid w:val="74F72828"/>
    <w:rsid w:val="75232716"/>
    <w:rsid w:val="75315249"/>
    <w:rsid w:val="75762BD4"/>
    <w:rsid w:val="75B528EA"/>
    <w:rsid w:val="76197675"/>
    <w:rsid w:val="76257DC8"/>
    <w:rsid w:val="76320737"/>
    <w:rsid w:val="76674885"/>
    <w:rsid w:val="78570929"/>
    <w:rsid w:val="78AC47D1"/>
    <w:rsid w:val="792627D5"/>
    <w:rsid w:val="797057FE"/>
    <w:rsid w:val="79C63670"/>
    <w:rsid w:val="79E02BB7"/>
    <w:rsid w:val="7A14415B"/>
    <w:rsid w:val="7A4647B1"/>
    <w:rsid w:val="7ABE7E8E"/>
    <w:rsid w:val="7B242D44"/>
    <w:rsid w:val="7B2C4A37"/>
    <w:rsid w:val="7C3D3992"/>
    <w:rsid w:val="7C4D62CB"/>
    <w:rsid w:val="7D1C7A4B"/>
    <w:rsid w:val="7D9A25AD"/>
    <w:rsid w:val="7DD520D4"/>
    <w:rsid w:val="7E855768"/>
    <w:rsid w:val="7EA85A3A"/>
    <w:rsid w:val="7ED14F91"/>
    <w:rsid w:val="7EFC5D86"/>
    <w:rsid w:val="7F387F02"/>
    <w:rsid w:val="7F653A65"/>
    <w:rsid w:val="7FCE14D1"/>
    <w:rsid w:val="7FF52F01"/>
    <w:rsid w:val="FF7FF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8"/>
    <w:autoRedefine/>
    <w:qFormat/>
    <w:uiPriority w:val="0"/>
    <w:pPr>
      <w:jc w:val="left"/>
    </w:pPr>
  </w:style>
  <w:style w:type="paragraph" w:styleId="3">
    <w:name w:val="Body Text"/>
    <w:basedOn w:val="1"/>
    <w:link w:val="16"/>
    <w:autoRedefine/>
    <w:qFormat/>
    <w:uiPriority w:val="0"/>
    <w:pPr>
      <w:autoSpaceDE w:val="0"/>
      <w:autoSpaceDN w:val="0"/>
      <w:adjustRightInd w:val="0"/>
      <w:jc w:val="left"/>
      <w:textAlignment w:val="baseline"/>
    </w:pPr>
    <w:rPr>
      <w:rFonts w:ascii="宋体"/>
      <w:color w:val="000000"/>
      <w:kern w:val="0"/>
      <w:sz w:val="24"/>
      <w:szCs w:val="20"/>
    </w:rPr>
  </w:style>
  <w:style w:type="paragraph" w:styleId="4">
    <w:name w:val="Balloon Text"/>
    <w:basedOn w:val="1"/>
    <w:link w:val="19"/>
    <w:autoRedefine/>
    <w:semiHidden/>
    <w:unhideWhenUsed/>
    <w:qFormat/>
    <w:uiPriority w:val="99"/>
    <w:rPr>
      <w:sz w:val="18"/>
      <w:szCs w:val="18"/>
    </w:rPr>
  </w:style>
  <w:style w:type="paragraph" w:styleId="5">
    <w:name w:val="footer"/>
    <w:basedOn w:val="1"/>
    <w:link w:val="15"/>
    <w:autoRedefine/>
    <w:unhideWhenUsed/>
    <w:qFormat/>
    <w:uiPriority w:val="0"/>
    <w:pPr>
      <w:tabs>
        <w:tab w:val="center" w:pos="4153"/>
        <w:tab w:val="right" w:pos="8306"/>
      </w:tabs>
      <w:snapToGrid w:val="0"/>
      <w:jc w:val="left"/>
    </w:pPr>
    <w:rPr>
      <w:sz w:val="18"/>
      <w:szCs w:val="18"/>
    </w:rPr>
  </w:style>
  <w:style w:type="paragraph" w:styleId="6">
    <w:name w:val="header"/>
    <w:basedOn w:val="1"/>
    <w:link w:val="14"/>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widowControl/>
      <w:spacing w:before="100" w:beforeAutospacing="1" w:after="100" w:afterAutospacing="1"/>
      <w:jc w:val="left"/>
    </w:pPr>
    <w:rPr>
      <w:rFonts w:ascii="宋体" w:hAnsi="宋体"/>
      <w:kern w:val="0"/>
      <w:sz w:val="18"/>
      <w:szCs w:val="20"/>
    </w:rPr>
  </w:style>
  <w:style w:type="paragraph" w:styleId="8">
    <w:name w:val="annotation subject"/>
    <w:basedOn w:val="2"/>
    <w:next w:val="2"/>
    <w:link w:val="21"/>
    <w:autoRedefine/>
    <w:semiHidden/>
    <w:unhideWhenUsed/>
    <w:qFormat/>
    <w:uiPriority w:val="99"/>
    <w:rPr>
      <w:b/>
      <w:bCs/>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autoRedefine/>
    <w:qFormat/>
    <w:uiPriority w:val="0"/>
    <w:rPr>
      <w:color w:val="0000FF"/>
      <w:u w:val="single"/>
    </w:rPr>
  </w:style>
  <w:style w:type="character" w:styleId="13">
    <w:name w:val="annotation reference"/>
    <w:autoRedefine/>
    <w:qFormat/>
    <w:uiPriority w:val="0"/>
    <w:rPr>
      <w:sz w:val="21"/>
      <w:szCs w:val="21"/>
    </w:rPr>
  </w:style>
  <w:style w:type="character" w:customStyle="1" w:styleId="14">
    <w:name w:val="页眉 字符"/>
    <w:basedOn w:val="11"/>
    <w:link w:val="6"/>
    <w:autoRedefine/>
    <w:qFormat/>
    <w:uiPriority w:val="99"/>
    <w:rPr>
      <w:sz w:val="18"/>
      <w:szCs w:val="18"/>
    </w:rPr>
  </w:style>
  <w:style w:type="character" w:customStyle="1" w:styleId="15">
    <w:name w:val="页脚 字符"/>
    <w:basedOn w:val="11"/>
    <w:link w:val="5"/>
    <w:autoRedefine/>
    <w:qFormat/>
    <w:uiPriority w:val="99"/>
    <w:rPr>
      <w:sz w:val="18"/>
      <w:szCs w:val="18"/>
    </w:rPr>
  </w:style>
  <w:style w:type="character" w:customStyle="1" w:styleId="16">
    <w:name w:val="正文文本 字符"/>
    <w:basedOn w:val="11"/>
    <w:link w:val="3"/>
    <w:autoRedefine/>
    <w:qFormat/>
    <w:uiPriority w:val="0"/>
    <w:rPr>
      <w:rFonts w:ascii="宋体" w:hAnsi="Times New Roman" w:eastAsia="宋体" w:cs="Times New Roman"/>
      <w:color w:val="000000"/>
      <w:kern w:val="0"/>
      <w:sz w:val="24"/>
      <w:szCs w:val="20"/>
    </w:rPr>
  </w:style>
  <w:style w:type="paragraph" w:styleId="17">
    <w:name w:val="List Paragraph"/>
    <w:basedOn w:val="1"/>
    <w:autoRedefine/>
    <w:qFormat/>
    <w:uiPriority w:val="0"/>
    <w:pPr>
      <w:ind w:firstLine="420" w:firstLineChars="200"/>
    </w:pPr>
    <w:rPr>
      <w:szCs w:val="20"/>
    </w:rPr>
  </w:style>
  <w:style w:type="character" w:customStyle="1" w:styleId="18">
    <w:name w:val="批注文字 字符"/>
    <w:basedOn w:val="11"/>
    <w:link w:val="2"/>
    <w:autoRedefine/>
    <w:qFormat/>
    <w:uiPriority w:val="0"/>
    <w:rPr>
      <w:rFonts w:ascii="Times New Roman" w:hAnsi="Times New Roman" w:eastAsia="宋体" w:cs="Times New Roman"/>
      <w:szCs w:val="24"/>
    </w:rPr>
  </w:style>
  <w:style w:type="character" w:customStyle="1" w:styleId="19">
    <w:name w:val="批注框文本 字符"/>
    <w:basedOn w:val="11"/>
    <w:link w:val="4"/>
    <w:autoRedefine/>
    <w:semiHidden/>
    <w:qFormat/>
    <w:uiPriority w:val="99"/>
    <w:rPr>
      <w:rFonts w:ascii="Times New Roman" w:hAnsi="Times New Roman" w:eastAsia="宋体" w:cs="Times New Roman"/>
      <w:sz w:val="18"/>
      <w:szCs w:val="18"/>
    </w:rPr>
  </w:style>
  <w:style w:type="paragraph" w:customStyle="1" w:styleId="20">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21">
    <w:name w:val="批注主题 字符"/>
    <w:basedOn w:val="18"/>
    <w:link w:val="8"/>
    <w:autoRedefine/>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24</Pages>
  <Words>12237</Words>
  <Characters>12833</Characters>
  <Lines>111</Lines>
  <Paragraphs>31</Paragraphs>
  <TotalTime>10</TotalTime>
  <ScaleCrop>false</ScaleCrop>
  <LinksUpToDate>false</LinksUpToDate>
  <CharactersWithSpaces>13633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2022-08-06T18:04:00Z</dcterms:created>
  <dc:creator>GPK34时光</dc:creator>
  <cp:lastModifiedBy>邓蓉</cp:lastModifiedBy>
  <cp:lastPrinted>2024-10-18T01:06:00Z</cp:lastPrinted>
  <dcterms:modified xsi:type="dcterms:W3CDTF">2026-10-16T06:08:45Z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7B584CA3453C4D12882E4B0AE583765C_13</vt:lpwstr>
  </property>
  <property fmtid="{D5CDD505-2E9C-101B-9397-08002B2CF9AE}" pid="4" name="KSOTemplateDocerSaveRecord">
    <vt:lpwstr>eyJoZGlkIjoiZjcwMzc1MmQ0NGQ5MjdhODljMTk4ZDY2ZWE3ZDhmMTkiLCJ1c2VySWQiOiI1NDQ1NDY4MjEifQ==</vt:lpwstr>
  </property>
</Properties>
</file>