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辽宁方大新城置业有限公司：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方大·世纪城01-C医养项目二期（医院）国际医学中心手术室净化工程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我司承诺在参与投标及履约过程中不向贵司人员行贿，如有行贿行为，贵司有权不再向我司支付任何合同价款(包括但不限于服务费、进度款、尾款、保证金等全部合同金额),贵司无需承担任何违约责任或补偿责任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AF1D41B-0264-4371-9C89-10B6B4EB7A76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8966EA1-52D1-49EA-9E41-E2027E17B8A3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47A4D538-42EA-425E-A7B6-BF487467DF4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A645451B-CEC1-4C52-9EA1-6BAB1081D78B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ED27537"/>
    <w:rsid w:val="5AB342D2"/>
    <w:rsid w:val="77C04C9F"/>
    <w:rsid w:val="7BD302C6"/>
    <w:rsid w:val="7D4831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226</Characters>
  <TotalTime>0</TotalTime>
  <ScaleCrop>false</ScaleCrop>
  <LinksUpToDate>false</LinksUpToDate>
  <CharactersWithSpaces>233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2026-05-12T09:52:08Z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2052-12.1.0.25865</vt:lpwstr>
  </property>
  <property fmtid="{D5CDD505-2E9C-101B-9397-08002B2CF9AE}" pid="7" name="ICV">
    <vt:lpwstr>E91CBBC37C514B1BA5A86C4D58E2DDC4_12</vt:lpwstr>
  </property>
</Properties>
</file>