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AA988">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44"/>
          <w:szCs w:val="44"/>
        </w:rPr>
      </w:pPr>
      <w:bookmarkStart w:id="11" w:name="_GoBack"/>
      <w:bookmarkEnd w:id="11"/>
      <w:r>
        <w:rPr>
          <w:rFonts w:hint="eastAsia" w:ascii="小标宋" w:hAnsi="小标宋" w:eastAsia="小标宋" w:cs="小标宋"/>
          <w:b/>
          <w:color w:val="auto"/>
          <w:sz w:val="44"/>
          <w:szCs w:val="44"/>
          <w:lang w:val="en-US" w:eastAsia="zh-CN"/>
        </w:rPr>
        <w:t>辽宁方大总医院招租招商</w:t>
      </w:r>
      <w:r>
        <w:rPr>
          <w:rFonts w:hint="eastAsia" w:ascii="小标宋" w:hAnsi="小标宋" w:eastAsia="小标宋" w:cs="小标宋"/>
          <w:b/>
          <w:color w:val="auto"/>
          <w:sz w:val="44"/>
          <w:szCs w:val="44"/>
        </w:rPr>
        <w:t>项目租赁合同</w:t>
      </w:r>
    </w:p>
    <w:p w14:paraId="2400EBE8">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5D173F43">
      <w:pPr>
        <w:pStyle w:val="3"/>
        <w:keepNext w:val="0"/>
        <w:keepLines w:val="0"/>
        <w:pageBreakBefore w:val="0"/>
        <w:widowControl w:val="0"/>
        <w:kinsoku/>
        <w:wordWrap/>
        <w:overflowPunct/>
        <w:topLinePunct w:val="0"/>
        <w:bidi w:val="0"/>
        <w:snapToGrid/>
        <w:spacing w:line="460" w:lineRule="exact"/>
        <w:ind w:right="-99" w:rightChars="-47" w:firstLine="1"/>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24"/>
          <w:szCs w:val="24"/>
        </w:rPr>
        <w:t>合同编号：</w:t>
      </w:r>
      <w:r>
        <w:rPr>
          <w:rFonts w:hint="eastAsia" w:ascii="仿宋_GB2312" w:hAnsi="仿宋_GB2312" w:eastAsia="仿宋_GB2312" w:cs="仿宋_GB2312"/>
          <w:b/>
          <w:bCs/>
          <w:color w:val="auto"/>
          <w:sz w:val="24"/>
          <w:szCs w:val="24"/>
          <w:lang w:val="en-US" w:eastAsia="zh-CN"/>
        </w:rPr>
        <w:t xml:space="preserve">       </w:t>
      </w:r>
    </w:p>
    <w:p w14:paraId="66356FD7">
      <w:pPr>
        <w:pStyle w:val="3"/>
        <w:keepNext w:val="0"/>
        <w:keepLines w:val="0"/>
        <w:pageBreakBefore w:val="0"/>
        <w:widowControl w:val="0"/>
        <w:kinsoku/>
        <w:wordWrap/>
        <w:overflowPunct/>
        <w:topLinePunct w:val="0"/>
        <w:bidi w:val="0"/>
        <w:snapToGrid/>
        <w:spacing w:line="460" w:lineRule="exact"/>
        <w:ind w:right="-99" w:rightChars="-47" w:firstLine="2168" w:firstLineChars="900"/>
        <w:jc w:val="both"/>
        <w:rPr>
          <w:rFonts w:hint="eastAsia" w:ascii="小标宋" w:hAnsi="小标宋" w:eastAsia="小标宋" w:cs="小标宋"/>
          <w:b/>
          <w:color w:val="auto"/>
          <w:szCs w:val="21"/>
          <w:highlight w:val="none"/>
          <w:lang w:val="en-US" w:eastAsia="zh-CN"/>
        </w:rPr>
      </w:pPr>
    </w:p>
    <w:p w14:paraId="2906E175">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5824587D">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377B8C13">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544BB3C5">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承租人证照号码：     </w:t>
      </w:r>
      <w:r>
        <w:rPr>
          <w:rFonts w:hint="eastAsia" w:ascii="仿宋_GB2312" w:hAnsi="仿宋_GB2312" w:eastAsia="仿宋_GB2312" w:cs="仿宋_GB2312"/>
          <w:color w:val="auto"/>
          <w:sz w:val="32"/>
          <w:szCs w:val="32"/>
          <w:lang w:val="en-US" w:eastAsia="zh-CN"/>
        </w:rPr>
        <w:t xml:space="preserve">                                                                                                                                                                                                               </w:t>
      </w:r>
    </w:p>
    <w:p w14:paraId="305DAB41">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089BB71B">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6CD51745">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4098881">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7F1A0EE4">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9200F4A">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7B68D0F2">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41C61CC5">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2FE2B250">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0EB3DA1C">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该房屋的计租面积为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甲、乙双方同意，该商铺的租赁面积允许误差范围在正负3%之内。若该误差</w:t>
      </w:r>
      <w:r>
        <w:rPr>
          <w:rFonts w:hint="eastAsia" w:ascii="仿宋_GB2312" w:hAnsi="仿宋_GB2312" w:eastAsia="仿宋_GB2312" w:cs="仿宋_GB2312"/>
          <w:color w:val="auto"/>
          <w:sz w:val="32"/>
          <w:szCs w:val="32"/>
          <w:highlight w:val="none"/>
          <w:lang w:val="en-US" w:eastAsia="zh-CN"/>
        </w:rPr>
        <w:t>小于等于</w:t>
      </w:r>
      <w:r>
        <w:rPr>
          <w:rFonts w:hint="eastAsia" w:ascii="仿宋_GB2312" w:hAnsi="仿宋_GB2312" w:eastAsia="仿宋_GB2312" w:cs="仿宋_GB2312"/>
          <w:color w:val="auto"/>
          <w:sz w:val="32"/>
          <w:szCs w:val="32"/>
          <w:highlight w:val="none"/>
        </w:rPr>
        <w:t>正负3%，则以租赁面积计算的款项均不作任何调整；若该误差</w:t>
      </w:r>
      <w:r>
        <w:rPr>
          <w:rFonts w:hint="eastAsia" w:ascii="仿宋_GB2312" w:hAnsi="仿宋_GB2312" w:eastAsia="仿宋_GB2312" w:cs="仿宋_GB2312"/>
          <w:color w:val="auto"/>
          <w:sz w:val="32"/>
          <w:szCs w:val="32"/>
          <w:highlight w:val="none"/>
          <w:lang w:val="en-US" w:eastAsia="zh-CN"/>
        </w:rPr>
        <w:t>大于</w:t>
      </w:r>
      <w:r>
        <w:rPr>
          <w:rFonts w:hint="eastAsia" w:ascii="仿宋_GB2312" w:hAnsi="仿宋_GB2312" w:eastAsia="仿宋_GB2312" w:cs="仿宋_GB2312"/>
          <w:color w:val="auto"/>
          <w:sz w:val="32"/>
          <w:szCs w:val="32"/>
          <w:highlight w:val="none"/>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3.1</w:t>
      </w:r>
      <w:r>
        <w:rPr>
          <w:rFonts w:hint="eastAsia" w:ascii="仿宋_GB2312" w:hAnsi="仿宋_GB2312" w:eastAsia="仿宋_GB2312" w:cs="仿宋_GB2312"/>
          <w:color w:val="auto"/>
          <w:sz w:val="32"/>
          <w:szCs w:val="32"/>
          <w:highlight w:val="none"/>
        </w:rPr>
        <w:t>装修期为进场日起</w:t>
      </w:r>
      <w:r>
        <w:rPr>
          <w:rFonts w:hint="eastAsia" w:ascii="仿宋_GB2312" w:hAnsi="仿宋_GB2312" w:eastAsia="仿宋_GB2312" w:cs="仿宋_GB2312"/>
          <w:color w:val="auto"/>
          <w:sz w:val="32"/>
          <w:szCs w:val="32"/>
          <w:highlight w:val="none"/>
          <w:lang w:val="en-US" w:eastAsia="zh-CN"/>
        </w:rPr>
        <w:t>30天内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除另有特别约定</w:t>
      </w:r>
      <w:r>
        <w:rPr>
          <w:rFonts w:hint="eastAsia" w:ascii="仿宋_GB2312" w:hAnsi="仿宋_GB2312" w:eastAsia="仿宋_GB2312" w:cs="仿宋_GB2312"/>
          <w:color w:val="auto"/>
          <w:sz w:val="32"/>
          <w:szCs w:val="32"/>
          <w:highlight w:val="none"/>
          <w:lang w:val="en-US" w:eastAsia="zh-CN"/>
        </w:rPr>
        <w:t>外</w:t>
      </w:r>
      <w:r>
        <w:rPr>
          <w:rFonts w:hint="eastAsia" w:ascii="仿宋_GB2312" w:hAnsi="仿宋_GB2312" w:eastAsia="仿宋_GB2312" w:cs="仿宋_GB2312"/>
          <w:color w:val="auto"/>
          <w:sz w:val="32"/>
          <w:szCs w:val="32"/>
          <w:highlight w:val="none"/>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rPr>
        <w:t>装修期内，乙方承担该房屋发生的水、电、燃气、热力等公用事业费用，其中乙方应向甲方</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租金标准和租金支付</w:t>
      </w:r>
    </w:p>
    <w:p w14:paraId="43F4B934">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4.1   该房屋的租金按计租面积计付，乙方自进场日开始承担该房屋的租金。</w:t>
      </w:r>
      <w:r>
        <w:rPr>
          <w:rFonts w:hint="eastAsia" w:ascii="仿宋_GB2312" w:hAnsi="仿宋_GB2312" w:eastAsia="仿宋_GB2312" w:cs="仿宋_GB2312"/>
          <w:color w:val="auto"/>
          <w:sz w:val="32"/>
          <w:szCs w:val="32"/>
          <w:highlight w:val="none"/>
          <w:lang w:val="en-US" w:eastAsia="zh-CN"/>
        </w:rPr>
        <w:t xml:space="preserve">            </w:t>
      </w:r>
    </w:p>
    <w:p w14:paraId="3BD03BD2">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元</w:t>
      </w:r>
      <w:r>
        <w:rPr>
          <w:rFonts w:hint="eastAsia" w:ascii="仿宋_GB2312" w:hAnsi="仿宋_GB2312" w:eastAsia="仿宋_GB2312" w:cs="仿宋_GB2312"/>
          <w:color w:val="auto"/>
          <w:sz w:val="32"/>
          <w:szCs w:val="32"/>
          <w:highlight w:val="none"/>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61A8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504F2F5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none"/>
              </w:rPr>
            </w:pPr>
            <w:r>
              <w:rPr>
                <w:rFonts w:hint="eastAsia" w:ascii="仿宋_GB2312" w:hAnsi="仿宋_GB2312" w:eastAsia="仿宋_GB2312" w:cs="仿宋_GB2312"/>
                <w:b/>
                <w:bCs/>
                <w:color w:val="auto"/>
                <w:sz w:val="18"/>
                <w:szCs w:val="18"/>
                <w:highlight w:val="none"/>
              </w:rPr>
              <w:t>每月租金</w:t>
            </w:r>
          </w:p>
          <w:p w14:paraId="77F6DB8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none"/>
                <w:lang w:eastAsia="zh-CN"/>
              </w:rPr>
              <w:t>（</w:t>
            </w:r>
            <w:r>
              <w:rPr>
                <w:rFonts w:hint="eastAsia" w:ascii="仿宋_GB2312" w:hAnsi="仿宋_GB2312" w:eastAsia="仿宋_GB2312" w:cs="仿宋_GB2312"/>
                <w:b/>
                <w:bCs/>
                <w:color w:val="auto"/>
                <w:sz w:val="18"/>
                <w:szCs w:val="18"/>
                <w:highlight w:val="none"/>
                <w:lang w:val="en-US" w:eastAsia="zh-CN"/>
              </w:rPr>
              <w:t>含税，税率</w:t>
            </w:r>
            <w:r>
              <w:rPr>
                <w:rFonts w:hint="eastAsia" w:ascii="仿宋_GB2312" w:hAnsi="仿宋_GB2312" w:eastAsia="仿宋_GB2312" w:cs="仿宋_GB2312"/>
                <w:b/>
                <w:bCs/>
                <w:color w:val="auto"/>
                <w:sz w:val="18"/>
                <w:szCs w:val="18"/>
                <w:highlight w:val="none"/>
                <w:u w:val="single"/>
                <w:lang w:val="en-US" w:eastAsia="zh-CN"/>
              </w:rPr>
              <w:t>9</w:t>
            </w:r>
            <w:r>
              <w:rPr>
                <w:rFonts w:hint="eastAsia" w:ascii="仿宋_GB2312" w:hAnsi="仿宋_GB2312" w:eastAsia="仿宋_GB2312" w:cs="仿宋_GB2312"/>
                <w:b/>
                <w:bCs/>
                <w:color w:val="auto"/>
                <w:sz w:val="18"/>
                <w:szCs w:val="18"/>
                <w:highlight w:val="none"/>
                <w:lang w:val="en-US" w:eastAsia="zh-CN"/>
              </w:rPr>
              <w:t>%）</w:t>
            </w:r>
          </w:p>
        </w:tc>
        <w:tc>
          <w:tcPr>
            <w:tcW w:w="1827" w:type="dxa"/>
            <w:vAlign w:val="center"/>
          </w:tcPr>
          <w:p w14:paraId="47FE1CB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3ECA276C">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0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2D6FFA3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794EAE03">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6CFE12ED">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0E6515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AFD5EA3">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566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2A48F2F">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4BCE7FD5">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7BE6E7D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74D638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09C2763E">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2CED2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7110E48">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314BA4FB">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31A006E2">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76CAC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7AF9A9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E5F30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6个月押金为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，押金自解除协议之日后15个工作日无息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auto"/>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4.2本合同项下的租金支付方式为：首期租金为进场日起开始计算，租金按每一个完整的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租约年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为一个交租期交纳。本合同项下首期租金应于本合同签订后5个工作日内支付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后续租金</w:t>
      </w:r>
      <w:r>
        <w:rPr>
          <w:rFonts w:hint="eastAsia" w:ascii="仿宋_GB2312" w:hAnsi="仿宋_GB2312" w:eastAsia="仿宋_GB2312" w:cs="仿宋_GB2312"/>
          <w:color w:val="auto"/>
          <w:sz w:val="32"/>
          <w:szCs w:val="32"/>
          <w:highlight w:val="none"/>
        </w:rPr>
        <w:t>应当在</w:t>
      </w:r>
      <w:r>
        <w:rPr>
          <w:rFonts w:hint="eastAsia" w:ascii="仿宋_GB2312" w:hAnsi="仿宋_GB2312" w:eastAsia="仿宋_GB2312" w:cs="仿宋_GB2312"/>
          <w:color w:val="auto"/>
          <w:sz w:val="32"/>
          <w:szCs w:val="32"/>
          <w:highlight w:val="none"/>
          <w:lang w:val="en-US" w:eastAsia="zh-CN"/>
        </w:rPr>
        <w:t>前一</w:t>
      </w:r>
      <w:r>
        <w:rPr>
          <w:rFonts w:hint="eastAsia" w:ascii="仿宋_GB2312" w:hAnsi="仿宋_GB2312" w:eastAsia="仿宋_GB2312" w:cs="仿宋_GB2312"/>
          <w:color w:val="auto"/>
          <w:sz w:val="32"/>
          <w:szCs w:val="32"/>
          <w:highlight w:val="none"/>
        </w:rPr>
        <w:t>交租期最后一个月的</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5日前（若</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5日为法定节假日则提前至法定节假日前最后一天），向甲方一次性足额支付。</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乙方足额</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租金后10个工作日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，甲方向乙方开具等额的增值</w:t>
      </w:r>
      <w:r>
        <w:rPr>
          <w:rFonts w:hint="eastAsia" w:ascii="仿宋_GB2312" w:hAnsi="仿宋_GB2312" w:eastAsia="仿宋_GB2312" w:cs="仿宋_GB2312"/>
          <w:color w:val="auto"/>
          <w:sz w:val="32"/>
          <w:szCs w:val="32"/>
          <w:highlight w:val="none"/>
          <w:lang w:eastAsia="zh-CN"/>
        </w:rPr>
        <w:t>税</w:t>
      </w:r>
      <w:r>
        <w:rPr>
          <w:rFonts w:hint="eastAsia" w:ascii="仿宋_GB2312" w:hAnsi="仿宋_GB2312" w:eastAsia="仿宋_GB2312" w:cs="仿宋_GB2312"/>
          <w:color w:val="auto"/>
          <w:sz w:val="32"/>
          <w:szCs w:val="32"/>
          <w:highlight w:val="none"/>
          <w:lang w:val="en-US" w:eastAsia="zh-CN"/>
        </w:rPr>
        <w:t>普通</w:t>
      </w:r>
      <w:r>
        <w:rPr>
          <w:rFonts w:hint="eastAsia" w:ascii="仿宋_GB2312" w:hAnsi="仿宋_GB2312" w:eastAsia="仿宋_GB2312" w:cs="仿宋_GB2312"/>
          <w:color w:val="auto"/>
          <w:sz w:val="32"/>
          <w:szCs w:val="32"/>
          <w:highlight w:val="none"/>
          <w:lang w:eastAsia="zh-CN"/>
        </w:rPr>
        <w:t>发票</w:t>
      </w:r>
      <w:r>
        <w:rPr>
          <w:rFonts w:hint="default"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eastAsia="zh-CN"/>
        </w:rPr>
        <w:t>增值税</w:t>
      </w:r>
      <w:r>
        <w:rPr>
          <w:rFonts w:hint="eastAsia" w:ascii="仿宋_GB2312" w:hAnsi="仿宋_GB2312" w:eastAsia="仿宋_GB2312" w:cs="仿宋_GB2312"/>
          <w:color w:val="auto"/>
          <w:sz w:val="32"/>
          <w:szCs w:val="32"/>
          <w:highlight w:val="none"/>
          <w:lang w:val="en-US" w:eastAsia="zh-CN"/>
        </w:rPr>
        <w:t>专用</w:t>
      </w:r>
      <w:r>
        <w:rPr>
          <w:rFonts w:hint="eastAsia" w:ascii="仿宋_GB2312" w:hAnsi="仿宋_GB2312" w:eastAsia="仿宋_GB2312" w:cs="仿宋_GB2312"/>
          <w:color w:val="auto"/>
          <w:sz w:val="32"/>
          <w:szCs w:val="32"/>
          <w:highlight w:val="none"/>
          <w:lang w:eastAsia="zh-CN"/>
        </w:rPr>
        <w:t>发票。</w:t>
      </w:r>
    </w:p>
    <w:p w14:paraId="1B302E7E">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【公司名称】：</w:t>
      </w:r>
      <w:r>
        <w:rPr>
          <w:rFonts w:hint="eastAsia" w:ascii="仿宋_GB2312" w:hAnsi="仿宋_GB2312" w:eastAsia="仿宋_GB2312" w:cs="仿宋_GB2312"/>
          <w:color w:val="auto"/>
          <w:kern w:val="2"/>
          <w:sz w:val="32"/>
          <w:szCs w:val="32"/>
          <w:highlight w:val="none"/>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【银行账号】：</w:t>
      </w:r>
      <w:r>
        <w:rPr>
          <w:rFonts w:hint="eastAsia" w:ascii="仿宋_GB2312" w:hAnsi="仿宋_GB2312" w:eastAsia="仿宋_GB2312" w:cs="仿宋_GB2312"/>
          <w:color w:val="auto"/>
          <w:kern w:val="2"/>
          <w:sz w:val="32"/>
          <w:szCs w:val="32"/>
          <w:highlight w:val="none"/>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rPr>
        <w:t>【开 户 行】：</w:t>
      </w:r>
      <w:r>
        <w:rPr>
          <w:rFonts w:hint="eastAsia" w:ascii="仿宋_GB2312" w:hAnsi="仿宋_GB2312" w:eastAsia="仿宋_GB2312" w:cs="仿宋_GB2312"/>
          <w:color w:val="auto"/>
          <w:w w:val="90"/>
          <w:kern w:val="2"/>
          <w:sz w:val="32"/>
          <w:szCs w:val="32"/>
          <w:highlight w:val="none"/>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【纳税人识别号】：</w:t>
      </w:r>
      <w:r>
        <w:rPr>
          <w:rFonts w:hint="eastAsia" w:ascii="仿宋_GB2312" w:hAnsi="仿宋_GB2312" w:eastAsia="仿宋_GB2312" w:cs="仿宋_GB2312"/>
          <w:color w:val="auto"/>
          <w:kern w:val="2"/>
          <w:sz w:val="32"/>
          <w:szCs w:val="32"/>
          <w:highlight w:val="none"/>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品牌、经营项目</w:t>
      </w:r>
    </w:p>
    <w:p w14:paraId="1A7BB7BA">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34EAC31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5.3  </w:t>
      </w:r>
      <w:r>
        <w:rPr>
          <w:rFonts w:hint="eastAsia" w:ascii="仿宋_GB2312" w:hAnsi="仿宋_GB2312" w:eastAsia="仿宋_GB2312" w:cs="仿宋_GB2312"/>
          <w:color w:val="auto"/>
          <w:sz w:val="32"/>
          <w:szCs w:val="32"/>
          <w:highlight w:val="none"/>
          <w:u w:val="none"/>
          <w:lang w:val="en-US" w:eastAsia="zh-CN"/>
        </w:rPr>
        <w:t>要求乙方应</w:t>
      </w:r>
      <w:r>
        <w:rPr>
          <w:rFonts w:hint="eastAsia" w:ascii="仿宋_GB2312" w:hAnsi="仿宋_GB2312" w:eastAsia="仿宋_GB2312" w:cs="仿宋_GB2312"/>
          <w:color w:val="auto"/>
          <w:sz w:val="32"/>
          <w:szCs w:val="32"/>
          <w:highlight w:val="none"/>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none"/>
          <w:u w:val="none"/>
          <w:lang w:eastAsia="zh-CN"/>
        </w:rPr>
        <w:t>严禁</w:t>
      </w:r>
      <w:r>
        <w:rPr>
          <w:rFonts w:hint="eastAsia" w:ascii="仿宋_GB2312" w:hAnsi="仿宋_GB2312" w:eastAsia="仿宋_GB2312" w:cs="仿宋_GB2312"/>
          <w:color w:val="auto"/>
          <w:sz w:val="32"/>
          <w:szCs w:val="32"/>
          <w:highlight w:val="none"/>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none"/>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租赁期限内，未经甲方及物业服务公司书面同意，</w:t>
      </w:r>
      <w:r>
        <w:rPr>
          <w:rFonts w:hint="eastAsia" w:ascii="仿宋_GB2312" w:hAnsi="仿宋_GB2312" w:eastAsia="仿宋_GB2312" w:cs="仿宋_GB2312"/>
          <w:color w:val="auto"/>
          <w:sz w:val="32"/>
          <w:szCs w:val="32"/>
          <w:highlight w:val="none"/>
          <w:lang w:val="en-US" w:eastAsia="zh-CN"/>
        </w:rPr>
        <w:t>若</w:t>
      </w:r>
      <w:r>
        <w:rPr>
          <w:rFonts w:hint="eastAsia" w:ascii="仿宋_GB2312" w:hAnsi="仿宋_GB2312" w:eastAsia="仿宋_GB2312" w:cs="仿宋_GB2312"/>
          <w:color w:val="auto"/>
          <w:sz w:val="32"/>
          <w:szCs w:val="32"/>
          <w:highlight w:val="none"/>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日内纠正；逾期未纠正或累计要求纠正</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次（含</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 xml:space="preserve">第六条  </w:t>
      </w:r>
      <w:r>
        <w:rPr>
          <w:rFonts w:hint="eastAsia" w:ascii="仿宋_GB2312" w:hAnsi="仿宋_GB2312" w:eastAsia="仿宋_GB2312" w:cs="仿宋_GB2312"/>
          <w:b/>
          <w:bCs/>
          <w:color w:val="auto"/>
          <w:sz w:val="32"/>
          <w:szCs w:val="32"/>
          <w:highlight w:val="none"/>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6.1  本合同签署当日，</w:t>
      </w:r>
      <w:r>
        <w:rPr>
          <w:rFonts w:hint="eastAsia" w:ascii="仿宋_GB2312" w:hAnsi="仿宋_GB2312" w:eastAsia="仿宋_GB2312" w:cs="仿宋_GB2312"/>
          <w:color w:val="auto"/>
          <w:sz w:val="32"/>
          <w:szCs w:val="32"/>
          <w:highlight w:val="none"/>
          <w:lang w:val="en-US" w:eastAsia="zh-CN"/>
        </w:rPr>
        <w:t>乙方应向甲方另行支付</w:t>
      </w:r>
      <w:r>
        <w:rPr>
          <w:rFonts w:hint="eastAsia" w:ascii="仿宋_GB2312" w:hAnsi="仿宋_GB2312" w:eastAsia="仿宋_GB2312" w:cs="仿宋_GB2312"/>
          <w:color w:val="auto"/>
          <w:sz w:val="32"/>
          <w:szCs w:val="32"/>
          <w:highlight w:val="none"/>
          <w:u w:val="none"/>
          <w:lang w:val="en-US" w:eastAsia="zh-CN"/>
        </w:rPr>
        <w:t>履约抵押金</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none"/>
          <w:lang w:val="en-US" w:eastAsia="zh-CN"/>
        </w:rPr>
        <w:t>元</w:t>
      </w:r>
      <w:r>
        <w:rPr>
          <w:rFonts w:hint="eastAsia" w:ascii="仿宋_GB2312" w:hAnsi="仿宋_GB2312" w:eastAsia="仿宋_GB2312" w:cs="仿宋_GB2312"/>
          <w:color w:val="auto"/>
          <w:sz w:val="32"/>
          <w:szCs w:val="32"/>
          <w:highlight w:val="none"/>
          <w:lang w:val="en-US" w:eastAsia="zh-CN"/>
        </w:rPr>
        <w:t>。如</w:t>
      </w: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none"/>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无息退还。</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highlight w:val="none"/>
        </w:rPr>
        <w:t>将该房屋另行出租。</w:t>
      </w:r>
    </w:p>
    <w:p w14:paraId="1F543EDD">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6.2  甲方或物业服务公司有权从履约抵押金相应扣除乙方欠付的租金或物业服务费及乙方违约金、赔偿金，不足部分乙方应在7日内补足保证金。</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6.4  </w:t>
      </w:r>
      <w:r>
        <w:rPr>
          <w:rFonts w:hint="eastAsia" w:ascii="仿宋_GB2312" w:hAnsi="仿宋_GB2312" w:eastAsia="仿宋_GB2312" w:cs="仿宋_GB2312"/>
          <w:color w:val="auto"/>
          <w:sz w:val="32"/>
          <w:szCs w:val="32"/>
          <w:highlight w:val="none"/>
        </w:rPr>
        <w:t>若乙方出现不通知甲方提前自行退租、恶意闭店且发律师函无回复、违法经营、破坏</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对</w:t>
      </w:r>
      <w:r>
        <w:rPr>
          <w:rFonts w:hint="eastAsia" w:ascii="仿宋_GB2312" w:hAnsi="仿宋_GB2312" w:eastAsia="仿宋_GB2312" w:cs="仿宋_GB2312"/>
          <w:color w:val="auto"/>
          <w:sz w:val="32"/>
          <w:szCs w:val="32"/>
          <w:highlight w:val="none"/>
          <w:lang w:val="en-US" w:eastAsia="zh-CN"/>
        </w:rPr>
        <w:t>给</w:t>
      </w:r>
      <w:r>
        <w:rPr>
          <w:rFonts w:hint="eastAsia" w:ascii="仿宋_GB2312" w:hAnsi="仿宋_GB2312" w:eastAsia="仿宋_GB2312" w:cs="仿宋_GB2312"/>
          <w:color w:val="auto"/>
          <w:sz w:val="32"/>
          <w:szCs w:val="32"/>
          <w:highlight w:val="none"/>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7.1  本合同项下的进场日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装修期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7.4 乙方进场及房屋交付确认后，因乙方原因造成计量仪表损坏的，应由乙方承担赔偿责任并</w:t>
      </w:r>
      <w:r>
        <w:rPr>
          <w:rFonts w:hint="eastAsia" w:ascii="仿宋_GB2312" w:hAnsi="仿宋_GB2312" w:eastAsia="仿宋_GB2312" w:cs="仿宋_GB2312"/>
          <w:color w:val="auto"/>
          <w:sz w:val="32"/>
          <w:szCs w:val="32"/>
          <w:highlight w:val="none"/>
          <w:lang w:eastAsia="zh-CN"/>
        </w:rPr>
        <w:t>补缴</w:t>
      </w:r>
      <w:r>
        <w:rPr>
          <w:rFonts w:hint="eastAsia" w:ascii="仿宋_GB2312" w:hAnsi="仿宋_GB2312" w:eastAsia="仿宋_GB2312" w:cs="仿宋_GB2312"/>
          <w:color w:val="auto"/>
          <w:sz w:val="32"/>
          <w:szCs w:val="32"/>
          <w:highlight w:val="none"/>
        </w:rPr>
        <w:t>欠缴的相关费用。</w:t>
      </w:r>
    </w:p>
    <w:p w14:paraId="7EF165A5">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8.1  乙方入场装修前，应取得甲方书面同意，并将乙方装修方案（图纸等材料）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见附件四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highlight w:val="none"/>
          <w:lang w:val="en-US" w:eastAsia="zh-CN"/>
        </w:rPr>
        <w:t>或擅自更改维修方案</w:t>
      </w:r>
      <w:r>
        <w:rPr>
          <w:rFonts w:hint="eastAsia" w:ascii="仿宋_GB2312" w:hAnsi="仿宋_GB2312" w:eastAsia="仿宋_GB2312" w:cs="仿宋_GB2312"/>
          <w:color w:val="auto"/>
          <w:sz w:val="32"/>
          <w:szCs w:val="32"/>
          <w:highlight w:val="none"/>
        </w:rPr>
        <w:t>，甲方有权解除本合同，要求乙方停止施工并将该房屋恢复至施工前状态，由此造</w:t>
      </w:r>
      <w:r>
        <w:rPr>
          <w:rFonts w:hint="eastAsia" w:ascii="仿宋_GB2312" w:hAnsi="仿宋_GB2312" w:eastAsia="仿宋_GB2312" w:cs="仿宋_GB2312"/>
          <w:color w:val="auto"/>
          <w:sz w:val="32"/>
          <w:szCs w:val="32"/>
          <w:highlight w:val="none"/>
          <w:lang w:eastAsia="zh-CN"/>
        </w:rPr>
        <w:t>成的</w:t>
      </w:r>
      <w:r>
        <w:rPr>
          <w:rFonts w:hint="eastAsia" w:ascii="仿宋_GB2312" w:hAnsi="仿宋_GB2312" w:eastAsia="仿宋_GB2312" w:cs="仿宋_GB2312"/>
          <w:color w:val="auto"/>
          <w:sz w:val="32"/>
          <w:szCs w:val="32"/>
          <w:highlight w:val="none"/>
        </w:rPr>
        <w:t>损失由乙方承担。</w:t>
      </w:r>
      <w:r>
        <w:rPr>
          <w:rFonts w:hint="eastAsia" w:ascii="仿宋_GB2312" w:hAnsi="仿宋_GB2312" w:eastAsia="仿宋_GB2312" w:cs="仿宋_GB2312"/>
          <w:color w:val="auto"/>
          <w:sz w:val="32"/>
          <w:szCs w:val="32"/>
          <w:highlight w:val="none"/>
          <w:lang w:val="en-US" w:eastAsia="zh-CN"/>
        </w:rPr>
        <w:t>同时</w:t>
      </w:r>
      <w:r>
        <w:rPr>
          <w:rFonts w:hint="eastAsia" w:ascii="仿宋_GB2312" w:hAnsi="仿宋_GB2312" w:eastAsia="仿宋_GB2312" w:cs="仿宋_GB2312"/>
          <w:color w:val="auto"/>
          <w:sz w:val="32"/>
          <w:szCs w:val="32"/>
          <w:highlight w:val="none"/>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highlight w:val="none"/>
          <w:lang w:val="en-US" w:eastAsia="zh-CN"/>
        </w:rPr>
        <w:t>首年租金的</w:t>
      </w:r>
      <w:r>
        <w:rPr>
          <w:rFonts w:hint="eastAsia" w:ascii="仿宋_GB2312" w:hAnsi="仿宋_GB2312" w:eastAsia="仿宋_GB2312" w:cs="仿宋_GB2312"/>
          <w:color w:val="auto"/>
          <w:sz w:val="32"/>
          <w:szCs w:val="32"/>
          <w:highlight w:val="none"/>
          <w:u w:val="single"/>
          <w:lang w:val="en-US" w:eastAsia="zh-CN"/>
        </w:rPr>
        <w:t>2%</w:t>
      </w:r>
      <w:r>
        <w:rPr>
          <w:rFonts w:hint="eastAsia" w:ascii="仿宋_GB2312" w:hAnsi="仿宋_GB2312" w:eastAsia="仿宋_GB2312" w:cs="仿宋_GB2312"/>
          <w:color w:val="auto"/>
          <w:sz w:val="32"/>
          <w:szCs w:val="32"/>
          <w:highlight w:val="none"/>
          <w:lang w:val="en-US" w:eastAsia="zh-CN"/>
        </w:rPr>
        <w:t>的履约抵押金作为</w:t>
      </w:r>
      <w:r>
        <w:rPr>
          <w:rFonts w:hint="eastAsia" w:ascii="仿宋_GB2312" w:hAnsi="仿宋_GB2312" w:eastAsia="仿宋_GB2312" w:cs="仿宋_GB2312"/>
          <w:color w:val="auto"/>
          <w:sz w:val="32"/>
          <w:szCs w:val="32"/>
          <w:highlight w:val="none"/>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8.4 </w:t>
      </w:r>
      <w:r>
        <w:rPr>
          <w:rFonts w:hint="eastAsia" w:ascii="仿宋_GB2312" w:hAnsi="仿宋_GB2312" w:eastAsia="仿宋_GB2312" w:cs="仿宋_GB2312"/>
          <w:color w:val="auto"/>
          <w:sz w:val="32"/>
          <w:szCs w:val="32"/>
          <w:highlight w:val="none"/>
        </w:rPr>
        <w:t>乙方在该房屋装修期间</w:t>
      </w:r>
      <w:r>
        <w:rPr>
          <w:rFonts w:hint="eastAsia" w:ascii="仿宋_GB2312" w:hAnsi="仿宋_GB2312" w:eastAsia="仿宋_GB2312" w:cs="仿宋_GB2312"/>
          <w:color w:val="auto"/>
          <w:sz w:val="32"/>
          <w:szCs w:val="32"/>
          <w:highlight w:val="none"/>
          <w:lang w:val="en-US" w:eastAsia="zh-CN"/>
        </w:rPr>
        <w:t>，对装修人员的人身损害及财产损失负责；乙方及装修人员</w:t>
      </w:r>
      <w:r>
        <w:rPr>
          <w:rFonts w:hint="eastAsia" w:ascii="仿宋_GB2312" w:hAnsi="仿宋_GB2312" w:eastAsia="仿宋_GB2312" w:cs="仿宋_GB2312"/>
          <w:color w:val="auto"/>
          <w:sz w:val="32"/>
          <w:szCs w:val="32"/>
          <w:highlight w:val="none"/>
          <w:lang w:val="en-US" w:eastAsia="zh-CN"/>
        </w:rPr>
        <w:tab/>
      </w:r>
      <w:r>
        <w:rPr>
          <w:rFonts w:hint="eastAsia" w:ascii="仿宋_GB2312" w:hAnsi="仿宋_GB2312" w:eastAsia="仿宋_GB2312" w:cs="仿宋_GB2312"/>
          <w:color w:val="auto"/>
          <w:sz w:val="32"/>
          <w:szCs w:val="32"/>
          <w:highlight w:val="none"/>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8.5 若因政府政策及相关要求需对乙方</w:t>
      </w:r>
      <w:r>
        <w:rPr>
          <w:rFonts w:hint="eastAsia" w:ascii="仿宋_GB2312" w:hAnsi="仿宋_GB2312" w:eastAsia="仿宋_GB2312" w:cs="仿宋_GB2312"/>
          <w:color w:val="auto"/>
          <w:sz w:val="32"/>
          <w:szCs w:val="32"/>
          <w:highlight w:val="none"/>
        </w:rPr>
        <w:t>装饰</w:t>
      </w:r>
      <w:r>
        <w:rPr>
          <w:rFonts w:hint="eastAsia" w:ascii="仿宋_GB2312" w:hAnsi="仿宋_GB2312" w:eastAsia="仿宋_GB2312" w:cs="仿宋_GB2312"/>
          <w:color w:val="auto"/>
          <w:sz w:val="32"/>
          <w:szCs w:val="32"/>
          <w:highlight w:val="none"/>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 xml:space="preserve">  非因甲方原因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  物业服务费</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物业服务及收费标准以甲方通知为准。</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.1  关于招牌和广告牌设置事宜，乙方应当严格遵守甲方和物业服务公司的管理规章制度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对外</w:t>
      </w:r>
      <w:r>
        <w:rPr>
          <w:rFonts w:hint="eastAsia" w:ascii="仿宋_GB2312" w:hAnsi="仿宋_GB2312" w:eastAsia="仿宋_GB2312" w:cs="仿宋_GB2312"/>
          <w:color w:val="auto"/>
          <w:sz w:val="32"/>
          <w:szCs w:val="32"/>
          <w:highlight w:val="none"/>
        </w:rPr>
        <w:t>招牌和广告牌</w:t>
      </w:r>
      <w:r>
        <w:rPr>
          <w:rFonts w:hint="eastAsia" w:ascii="仿宋_GB2312" w:hAnsi="仿宋_GB2312" w:eastAsia="仿宋_GB2312" w:cs="仿宋_GB2312"/>
          <w:color w:val="auto"/>
          <w:sz w:val="32"/>
          <w:szCs w:val="32"/>
          <w:highlight w:val="none"/>
          <w:lang w:val="en-US" w:eastAsia="zh-CN"/>
        </w:rPr>
        <w:t>需通过甲方审批后</w:t>
      </w:r>
      <w:r>
        <w:rPr>
          <w:rFonts w:hint="eastAsia" w:ascii="仿宋_GB2312" w:hAnsi="仿宋_GB2312" w:eastAsia="仿宋_GB2312" w:cs="仿宋_GB2312"/>
          <w:color w:val="auto"/>
          <w:sz w:val="32"/>
          <w:szCs w:val="32"/>
          <w:highlight w:val="none"/>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highlight w:val="none"/>
          <w:lang w:eastAsia="zh-CN"/>
        </w:rPr>
        <w:t>横</w:t>
      </w:r>
      <w:r>
        <w:rPr>
          <w:rFonts w:hint="eastAsia" w:ascii="仿宋_GB2312" w:hAnsi="仿宋_GB2312" w:eastAsia="仿宋_GB2312" w:cs="仿宋_GB2312"/>
          <w:color w:val="auto"/>
          <w:sz w:val="32"/>
          <w:szCs w:val="32"/>
          <w:highlight w:val="none"/>
        </w:rPr>
        <w:t>幅、张贴物、展板等）</w:t>
      </w:r>
      <w:r>
        <w:rPr>
          <w:rFonts w:hint="eastAsia" w:ascii="仿宋_GB2312" w:hAnsi="仿宋_GB2312" w:eastAsia="仿宋_GB2312" w:cs="仿宋_GB2312"/>
          <w:color w:val="auto"/>
          <w:sz w:val="32"/>
          <w:szCs w:val="32"/>
          <w:highlight w:val="none"/>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、热力等供应或中止空调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highlight w:val="none"/>
          <w:lang w:val="en-US" w:eastAsia="zh-CN"/>
        </w:rPr>
        <w:t>本</w:t>
      </w:r>
      <w:r>
        <w:rPr>
          <w:rFonts w:hint="eastAsia" w:ascii="仿宋_GB2312" w:hAnsi="仿宋_GB2312" w:eastAsia="仿宋_GB2312" w:cs="仿宋_GB2312"/>
          <w:color w:val="auto"/>
          <w:sz w:val="32"/>
          <w:szCs w:val="32"/>
          <w:highlight w:val="none"/>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.3  乙方原因导致该房屋的水、电、燃气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、热力等供应中断或空调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3.5</w:t>
      </w:r>
      <w:r>
        <w:rPr>
          <w:rFonts w:hint="eastAsia" w:ascii="仿宋_GB2312" w:hAnsi="仿宋_GB2312" w:eastAsia="仿宋_GB2312" w:cs="仿宋_GB2312"/>
          <w:color w:val="auto"/>
          <w:sz w:val="32"/>
          <w:szCs w:val="32"/>
          <w:highlight w:val="none"/>
        </w:rPr>
        <w:t xml:space="preserve">  对于乙方放置于该房屋内的货物、设备、材料等，乙方</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 在租赁期限内，</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是该房屋的实际管理人，</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的人身和财产安全均由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2.该房屋内所发生的一切安全事故均由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承担，与</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无关。包括但不限于高空抛物，水、电、气使用不当，在房屋内摔倒，给</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及同住人（或其他任何第三人）造成人身伤害，</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如果利用此房屋从事非法活动或者拖欠房租超过15天，</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14.5</w:t>
      </w:r>
      <w:r>
        <w:rPr>
          <w:rFonts w:hint="eastAsia" w:ascii="仿宋_GB2312" w:hAnsi="仿宋_GB2312" w:eastAsia="仿宋_GB2312" w:cs="仿宋_GB2312"/>
          <w:color w:val="auto"/>
          <w:sz w:val="32"/>
          <w:szCs w:val="32"/>
          <w:highlight w:val="none"/>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14.6</w:t>
      </w:r>
      <w:r>
        <w:rPr>
          <w:rFonts w:hint="eastAsia" w:ascii="仿宋_GB2312" w:hAnsi="仿宋_GB2312" w:eastAsia="仿宋_GB2312" w:cs="仿宋_GB2312"/>
          <w:color w:val="auto"/>
          <w:sz w:val="32"/>
          <w:szCs w:val="32"/>
          <w:highlight w:val="none"/>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 xml:space="preserve">.10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财务部</w:t>
      </w:r>
      <w:r>
        <w:rPr>
          <w:rFonts w:hint="eastAsia" w:ascii="仿宋_GB2312" w:hAnsi="仿宋_GB2312" w:eastAsia="仿宋_GB2312" w:cs="仿宋_GB2312"/>
          <w:b w:val="0"/>
          <w:bCs w:val="0"/>
          <w:color w:val="auto"/>
          <w:sz w:val="32"/>
          <w:szCs w:val="32"/>
          <w:highlight w:val="none"/>
          <w:lang w:val="en-US" w:eastAsia="zh-CN"/>
        </w:rPr>
        <w:t>门</w:t>
      </w:r>
      <w:r>
        <w:rPr>
          <w:rFonts w:hint="default" w:ascii="仿宋_GB2312" w:hAnsi="仿宋_GB2312" w:eastAsia="仿宋_GB2312" w:cs="仿宋_GB2312"/>
          <w:b w:val="0"/>
          <w:bCs w:val="0"/>
          <w:color w:val="auto"/>
          <w:sz w:val="32"/>
          <w:szCs w:val="32"/>
          <w:highlight w:val="none"/>
          <w:lang w:val="en-US" w:eastAsia="zh-CN"/>
        </w:rPr>
        <w:t>，每度电按</w:t>
      </w:r>
      <w:r>
        <w:rPr>
          <w:rFonts w:hint="eastAsia" w:ascii="仿宋_GB2312" w:hAnsi="仿宋_GB2312" w:eastAsia="仿宋_GB2312" w:cs="仿宋_GB2312"/>
          <w:b w:val="0"/>
          <w:bCs w:val="0"/>
          <w:color w:val="auto"/>
          <w:sz w:val="32"/>
          <w:szCs w:val="32"/>
          <w:highlight w:val="none"/>
          <w:u w:val="single"/>
          <w:lang w:val="en-US" w:eastAsia="zh-CN"/>
        </w:rPr>
        <w:t>1</w:t>
      </w:r>
      <w:r>
        <w:rPr>
          <w:rFonts w:hint="default" w:ascii="仿宋_GB2312" w:hAnsi="仿宋_GB2312" w:eastAsia="仿宋_GB2312" w:cs="仿宋_GB2312"/>
          <w:b w:val="0"/>
          <w:bCs w:val="0"/>
          <w:color w:val="auto"/>
          <w:sz w:val="32"/>
          <w:szCs w:val="32"/>
          <w:highlight w:val="none"/>
          <w:lang w:val="en-US" w:eastAsia="zh-CN"/>
        </w:rPr>
        <w:t>元核算缴费，不允许使用危险性电器产品，如</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highlight w:val="none"/>
          <w:lang w:val="en-US" w:eastAsia="zh-CN"/>
        </w:rPr>
        <w:t>百分之一</w:t>
      </w:r>
      <w:r>
        <w:rPr>
          <w:rFonts w:hint="eastAsia" w:ascii="仿宋_GB2312" w:hAnsi="仿宋_GB2312" w:eastAsia="仿宋_GB2312" w:cs="仿宋_GB2312"/>
          <w:color w:val="auto"/>
          <w:sz w:val="32"/>
          <w:szCs w:val="32"/>
          <w:highlight w:val="none"/>
        </w:rPr>
        <w:t>支付</w:t>
      </w:r>
      <w:r>
        <w:rPr>
          <w:rFonts w:hint="eastAsia" w:ascii="仿宋_GB2312" w:hAnsi="仿宋_GB2312" w:eastAsia="仿宋_GB2312" w:cs="仿宋_GB2312"/>
          <w:color w:val="auto"/>
          <w:sz w:val="32"/>
          <w:szCs w:val="32"/>
          <w:highlight w:val="none"/>
          <w:lang w:val="en-US" w:eastAsia="zh-CN"/>
        </w:rPr>
        <w:t>违约金</w:t>
      </w:r>
      <w:r>
        <w:rPr>
          <w:rFonts w:hint="eastAsia" w:ascii="仿宋_GB2312" w:hAnsi="仿宋_GB2312" w:eastAsia="仿宋_GB2312" w:cs="仿宋_GB2312"/>
          <w:color w:val="auto"/>
          <w:sz w:val="32"/>
          <w:szCs w:val="32"/>
          <w:highlight w:val="none"/>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highlight w:val="none"/>
          <w:lang w:eastAsia="zh-CN"/>
        </w:rPr>
        <w:t>生的</w:t>
      </w:r>
      <w:r>
        <w:rPr>
          <w:rFonts w:hint="eastAsia" w:ascii="仿宋_GB2312" w:hAnsi="仿宋_GB2312" w:eastAsia="仿宋_GB2312" w:cs="仿宋_GB2312"/>
          <w:color w:val="auto"/>
          <w:sz w:val="32"/>
          <w:szCs w:val="32"/>
          <w:highlight w:val="none"/>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none"/>
          <w:lang w:val="en-US" w:eastAsia="zh-CN"/>
        </w:rPr>
        <w:t>且</w:t>
      </w:r>
      <w:r>
        <w:rPr>
          <w:rFonts w:hint="default" w:ascii="仿宋_GB2312" w:hAnsi="仿宋_GB2312" w:eastAsia="仿宋_GB2312" w:cs="仿宋_GB2312"/>
          <w:b w:val="0"/>
          <w:bCs w:val="0"/>
          <w:color w:val="auto"/>
          <w:sz w:val="32"/>
          <w:szCs w:val="32"/>
          <w:highlight w:val="none"/>
          <w:lang w:val="en-US" w:eastAsia="zh-CN"/>
        </w:rPr>
        <w:t>商品标价须符合国家有关政策法规，</w:t>
      </w:r>
      <w:r>
        <w:rPr>
          <w:rFonts w:hint="eastAsia" w:ascii="仿宋_GB2312" w:hAnsi="仿宋_GB2312" w:eastAsia="仿宋_GB2312" w:cs="仿宋_GB2312"/>
          <w:b w:val="0"/>
          <w:bCs w:val="0"/>
          <w:color w:val="auto"/>
          <w:sz w:val="32"/>
          <w:szCs w:val="32"/>
          <w:highlight w:val="none"/>
          <w:lang w:val="en-US" w:eastAsia="zh-CN"/>
        </w:rPr>
        <w:t>接受并积极配合</w:t>
      </w:r>
      <w:r>
        <w:rPr>
          <w:rFonts w:hint="default" w:ascii="仿宋_GB2312" w:hAnsi="仿宋_GB2312" w:eastAsia="仿宋_GB2312" w:cs="仿宋_GB2312"/>
          <w:b w:val="0"/>
          <w:bCs w:val="0"/>
          <w:color w:val="auto"/>
          <w:sz w:val="32"/>
          <w:szCs w:val="32"/>
          <w:highlight w:val="none"/>
          <w:lang w:val="en-US" w:eastAsia="zh-CN"/>
        </w:rPr>
        <w:t>物价局</w:t>
      </w:r>
      <w:r>
        <w:rPr>
          <w:rFonts w:hint="eastAsia" w:ascii="仿宋_GB2312" w:hAnsi="仿宋_GB2312" w:eastAsia="仿宋_GB2312" w:cs="仿宋_GB2312"/>
          <w:b w:val="0"/>
          <w:bCs w:val="0"/>
          <w:color w:val="auto"/>
          <w:sz w:val="32"/>
          <w:szCs w:val="32"/>
          <w:highlight w:val="none"/>
          <w:lang w:val="en-US" w:eastAsia="zh-CN"/>
        </w:rPr>
        <w:t>等有关部门监督检查，一旦质量、效期、定价发生问题，均由乙方自行承担，如对甲方声誉造成严重影响的，甲方有权利单方面解除本合同，履约抵押金及押金均不予退还。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p>
    <w:p w14:paraId="125B3D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承担相关责任。</w:t>
      </w:r>
      <w:r>
        <w:rPr>
          <w:rFonts w:hint="eastAsia" w:ascii="仿宋_GB2312" w:hAnsi="仿宋_GB2312" w:eastAsia="仿宋_GB2312" w:cs="仿宋_GB2312"/>
          <w:b w:val="0"/>
          <w:bCs w:val="0"/>
          <w:color w:val="auto"/>
          <w:sz w:val="32"/>
          <w:szCs w:val="32"/>
          <w:highlight w:val="none"/>
          <w:lang w:val="en-US" w:eastAsia="zh-CN"/>
        </w:rPr>
        <w:t>如</w:t>
      </w:r>
      <w:r>
        <w:rPr>
          <w:rFonts w:hint="default" w:ascii="仿宋_GB2312" w:hAnsi="仿宋_GB2312" w:eastAsia="仿宋_GB2312" w:cs="仿宋_GB2312"/>
          <w:b w:val="0"/>
          <w:bCs w:val="0"/>
          <w:color w:val="auto"/>
          <w:sz w:val="32"/>
          <w:szCs w:val="32"/>
          <w:highlight w:val="none"/>
          <w:lang w:val="en-US" w:eastAsia="zh-CN"/>
        </w:rPr>
        <w:t>引起</w:t>
      </w:r>
      <w:r>
        <w:rPr>
          <w:rFonts w:hint="eastAsia" w:ascii="仿宋_GB2312" w:hAnsi="仿宋_GB2312" w:eastAsia="仿宋_GB2312" w:cs="仿宋_GB2312"/>
          <w:b w:val="0"/>
          <w:bCs w:val="0"/>
          <w:color w:val="auto"/>
          <w:sz w:val="32"/>
          <w:szCs w:val="32"/>
          <w:highlight w:val="none"/>
          <w:lang w:val="en-US" w:eastAsia="zh-CN"/>
        </w:rPr>
        <w:t>医护人员、患者及家属不满意或</w:t>
      </w:r>
      <w:r>
        <w:rPr>
          <w:rFonts w:hint="default" w:ascii="仿宋_GB2312" w:hAnsi="仿宋_GB2312" w:eastAsia="仿宋_GB2312" w:cs="仿宋_GB2312"/>
          <w:b w:val="0"/>
          <w:bCs w:val="0"/>
          <w:color w:val="auto"/>
          <w:sz w:val="32"/>
          <w:szCs w:val="32"/>
          <w:highlight w:val="none"/>
          <w:lang w:val="en-US" w:eastAsia="zh-CN"/>
        </w:rPr>
        <w:t>纠纷</w:t>
      </w:r>
      <w:r>
        <w:rPr>
          <w:rFonts w:hint="eastAsia" w:ascii="仿宋_GB2312" w:hAnsi="仿宋_GB2312" w:eastAsia="仿宋_GB2312" w:cs="仿宋_GB2312"/>
          <w:b w:val="0"/>
          <w:bCs w:val="0"/>
          <w:color w:val="auto"/>
          <w:sz w:val="32"/>
          <w:szCs w:val="32"/>
          <w:highlight w:val="none"/>
          <w:lang w:val="en-US" w:eastAsia="zh-CN"/>
        </w:rPr>
        <w:t>等</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扣罚</w:t>
      </w:r>
      <w:r>
        <w:rPr>
          <w:rFonts w:hint="default" w:ascii="仿宋_GB2312" w:hAnsi="仿宋_GB2312" w:eastAsia="仿宋_GB2312" w:cs="仿宋_GB2312"/>
          <w:b w:val="0"/>
          <w:bCs w:val="0"/>
          <w:color w:val="auto"/>
          <w:sz w:val="32"/>
          <w:szCs w:val="32"/>
          <w:highlight w:val="none"/>
          <w:lang w:val="en-US" w:eastAsia="zh-CN"/>
        </w:rPr>
        <w:t>履约</w:t>
      </w:r>
      <w:r>
        <w:rPr>
          <w:rFonts w:hint="eastAsia" w:ascii="仿宋_GB2312" w:hAnsi="仿宋_GB2312" w:eastAsia="仿宋_GB2312" w:cs="仿宋_GB2312"/>
          <w:b w:val="0"/>
          <w:bCs w:val="0"/>
          <w:color w:val="auto"/>
          <w:sz w:val="32"/>
          <w:szCs w:val="32"/>
          <w:highlight w:val="none"/>
          <w:lang w:val="en-US" w:eastAsia="zh-CN"/>
        </w:rPr>
        <w:t>保证</w:t>
      </w:r>
      <w:r>
        <w:rPr>
          <w:rFonts w:hint="default" w:ascii="仿宋_GB2312" w:hAnsi="仿宋_GB2312" w:eastAsia="仿宋_GB2312" w:cs="仿宋_GB2312"/>
          <w:b w:val="0"/>
          <w:bCs w:val="0"/>
          <w:color w:val="auto"/>
          <w:sz w:val="32"/>
          <w:szCs w:val="32"/>
          <w:highlight w:val="none"/>
          <w:lang w:val="en-US" w:eastAsia="zh-CN"/>
        </w:rPr>
        <w:t>金</w:t>
      </w:r>
      <w:r>
        <w:rPr>
          <w:rFonts w:hint="eastAsia" w:ascii="仿宋_GB2312" w:hAnsi="仿宋_GB2312" w:eastAsia="仿宋_GB2312" w:cs="仿宋_GB2312"/>
          <w:b w:val="0"/>
          <w:bCs w:val="0"/>
          <w:color w:val="auto"/>
          <w:sz w:val="32"/>
          <w:szCs w:val="32"/>
          <w:highlight w:val="none"/>
          <w:lang w:val="en-US" w:eastAsia="zh-CN"/>
        </w:rPr>
        <w:t>500元/次</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p>
    <w:p w14:paraId="1DF2526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bCs/>
          <w:color w:val="auto"/>
          <w:sz w:val="32"/>
          <w:szCs w:val="32"/>
          <w:highlight w:val="none"/>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因疫情或其他不可抗力因素导致装修期延长</w:t>
      </w:r>
      <w:r>
        <w:rPr>
          <w:rFonts w:hint="eastAsia" w:ascii="仿宋_GB2312" w:hAnsi="仿宋_GB2312" w:eastAsia="仿宋_GB2312" w:cs="仿宋_GB2312"/>
          <w:color w:val="auto"/>
          <w:sz w:val="32"/>
          <w:szCs w:val="32"/>
          <w:highlight w:val="none"/>
          <w:lang w:val="en-US" w:eastAsia="zh-CN"/>
        </w:rPr>
        <w:t>甲方应另行通知</w:t>
      </w:r>
      <w:r>
        <w:rPr>
          <w:rFonts w:hint="eastAsia" w:ascii="仿宋_GB2312" w:hAnsi="仿宋_GB2312" w:eastAsia="仿宋_GB2312" w:cs="仿宋_GB2312"/>
          <w:color w:val="auto"/>
          <w:sz w:val="32"/>
          <w:szCs w:val="32"/>
          <w:highlight w:val="none"/>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第十八条  </w:t>
      </w:r>
      <w:r>
        <w:rPr>
          <w:rFonts w:hint="eastAsia" w:ascii="仿宋_GB2312" w:hAnsi="仿宋_GB2312" w:eastAsia="仿宋_GB2312" w:cs="仿宋_GB2312"/>
          <w:b/>
          <w:bCs/>
          <w:color w:val="auto"/>
          <w:sz w:val="32"/>
          <w:szCs w:val="32"/>
          <w:highlight w:val="none"/>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第十九条  </w:t>
      </w:r>
      <w:r>
        <w:rPr>
          <w:rFonts w:hint="eastAsia" w:ascii="仿宋_GB2312" w:hAnsi="仿宋_GB2312" w:eastAsia="仿宋_GB2312" w:cs="仿宋_GB2312"/>
          <w:b/>
          <w:bCs/>
          <w:color w:val="auto"/>
          <w:sz w:val="32"/>
          <w:szCs w:val="32"/>
          <w:highlight w:val="none"/>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highlight w:val="none"/>
          <w:lang w:eastAsia="zh-CN"/>
        </w:rPr>
        <w:t>之日起</w:t>
      </w:r>
      <w:r>
        <w:rPr>
          <w:rFonts w:hint="eastAsia" w:ascii="仿宋_GB2312" w:hAnsi="仿宋_GB2312" w:eastAsia="仿宋_GB2312" w:cs="仿宋_GB2312"/>
          <w:color w:val="auto"/>
          <w:sz w:val="32"/>
          <w:szCs w:val="32"/>
          <w:highlight w:val="none"/>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highlight w:val="none"/>
          <w:lang w:eastAsia="zh-CN"/>
        </w:rPr>
        <w:t>账户</w:t>
      </w:r>
      <w:r>
        <w:rPr>
          <w:rFonts w:hint="eastAsia" w:ascii="仿宋_GB2312" w:hAnsi="仿宋_GB2312" w:eastAsia="仿宋_GB2312" w:cs="仿宋_GB2312"/>
          <w:color w:val="auto"/>
          <w:sz w:val="32"/>
          <w:szCs w:val="32"/>
          <w:highlight w:val="none"/>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19.4</w:t>
      </w:r>
      <w:r>
        <w:rPr>
          <w:rFonts w:hint="eastAsia" w:ascii="仿宋_GB2312" w:hAnsi="仿宋_GB2312" w:eastAsia="仿宋_GB2312" w:cs="仿宋_GB2312"/>
          <w:color w:val="auto"/>
          <w:sz w:val="32"/>
          <w:szCs w:val="32"/>
          <w:highlight w:val="none"/>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第二十条  违约责任</w:t>
      </w:r>
    </w:p>
    <w:p w14:paraId="22FAFC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 xml:space="preserve">.1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的延迟履行违约金；延迟5日仍未足额交纳的，甲方或物业服务公司可以对</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暂停能源供应及物业管理服务，关闭对应入口及通道，且无需因此向乙方或第三方承担任何责任（如第三方因此向甲方或物业服务公司索赔，甲方或物业服务公司有权向乙方追偿）；乙方超过15天未足额交纳欠费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甲方有权单方解除本合同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7461EAC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双方特别确认，租赁期限内，如乙方延迟交纳租金或物业服务费或公用事业费累计超过3次（含），甲方有权解除本合同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0FF2CF3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20.2  </w:t>
      </w:r>
      <w:r>
        <w:rPr>
          <w:rFonts w:hint="eastAsia" w:ascii="仿宋_GB2312" w:hAnsi="仿宋_GB2312" w:eastAsia="仿宋_GB2312" w:cs="仿宋_GB2312"/>
          <w:color w:val="auto"/>
          <w:sz w:val="32"/>
          <w:szCs w:val="32"/>
          <w:highlight w:val="none"/>
        </w:rPr>
        <w:t>因甲方原因（包括</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设定抵押或其他第三方权利等）导致乙方无法继续享有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使用权，甲方应当在乙方发出书面通知后30日内作出相应改正的积极有效举措，直至完全改正；若经甲方改正，仍无法使乙方继续享有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使用权，在该期间内，乙方无须</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租金、物业服务费。</w:t>
      </w:r>
    </w:p>
    <w:p w14:paraId="2889868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本合同因乙方违约而提前终止的，</w:t>
      </w:r>
      <w:r>
        <w:rPr>
          <w:rFonts w:hint="eastAsia" w:ascii="仿宋_GB2312" w:hAnsi="仿宋_GB2312" w:eastAsia="仿宋_GB2312" w:cs="仿宋_GB2312"/>
          <w:color w:val="auto"/>
          <w:sz w:val="32"/>
          <w:szCs w:val="32"/>
          <w:highlight w:val="none"/>
          <w:lang w:val="en-US" w:eastAsia="zh-CN"/>
        </w:rPr>
        <w:t>乙方应向甲方支付合同总金额20%的违约金，</w:t>
      </w:r>
      <w:r>
        <w:rPr>
          <w:rFonts w:hint="eastAsia" w:ascii="仿宋_GB2312" w:hAnsi="仿宋_GB2312" w:eastAsia="仿宋_GB2312" w:cs="仿宋_GB2312"/>
          <w:color w:val="auto"/>
          <w:sz w:val="32"/>
          <w:szCs w:val="32"/>
          <w:highlight w:val="none"/>
        </w:rPr>
        <w:t>乙方自行承担合同提前终止产生的全部损失，且乙方应承担的其他</w:t>
      </w:r>
      <w:r>
        <w:rPr>
          <w:rFonts w:hint="eastAsia" w:ascii="仿宋_GB2312" w:hAnsi="仿宋_GB2312" w:eastAsia="仿宋_GB2312" w:cs="仿宋_GB2312"/>
          <w:color w:val="auto"/>
          <w:sz w:val="32"/>
          <w:szCs w:val="32"/>
          <w:highlight w:val="none"/>
          <w:lang w:val="zh-CN"/>
        </w:rPr>
        <w:t>违约责任并不免除</w:t>
      </w:r>
      <w:r>
        <w:rPr>
          <w:rFonts w:hint="eastAsia" w:ascii="仿宋_GB2312" w:hAnsi="仿宋_GB2312" w:eastAsia="仿宋_GB2312" w:cs="仿宋_GB2312"/>
          <w:color w:val="auto"/>
          <w:sz w:val="32"/>
          <w:szCs w:val="32"/>
          <w:highlight w:val="none"/>
        </w:rPr>
        <w:t>。</w:t>
      </w:r>
    </w:p>
    <w:p w14:paraId="7AB0623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经甲、乙双方协商一致，乙方可提前90日书面通知甲方并足额交纳租金等费用后解除本合同，</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不予返还。</w:t>
      </w:r>
    </w:p>
    <w:p w14:paraId="1E3D263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20.5  </w:t>
      </w:r>
      <w:r>
        <w:rPr>
          <w:rFonts w:hint="eastAsia" w:ascii="仿宋_GB2312" w:hAnsi="仿宋_GB2312" w:eastAsia="仿宋_GB2312" w:cs="仿宋_GB2312"/>
          <w:color w:val="auto"/>
          <w:sz w:val="32"/>
          <w:szCs w:val="32"/>
          <w:highlight w:val="none"/>
        </w:rPr>
        <w:t>若乙方在合同履约过程中造成甲方损失，乙方应承担全部损失并向甲方支付损失金额30%的违约金。</w:t>
      </w:r>
    </w:p>
    <w:p w14:paraId="32F30410">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20.6  本合同约定的违约金可以累加计算。乙方应当按照甲方要求的时间确认在履约过程中产生的各种违约金、赔偿金，并以电汇的形式支付至甲方指定账户，否则甲方有权从履约抵押金中扣除，</w:t>
      </w:r>
      <w:r>
        <w:rPr>
          <w:rFonts w:hint="eastAsia" w:ascii="仿宋_GB2312" w:hAnsi="仿宋_GB2312" w:eastAsia="仿宋_GB2312" w:cs="仿宋_GB2312"/>
          <w:b w:val="0"/>
          <w:bCs w:val="0"/>
          <w:color w:val="auto"/>
          <w:sz w:val="32"/>
          <w:szCs w:val="32"/>
          <w:highlight w:val="none"/>
        </w:rPr>
        <w:t>不足部分，甲方依法享有向乙方追索的权利</w:t>
      </w:r>
      <w:r>
        <w:rPr>
          <w:rFonts w:hint="eastAsia" w:ascii="仿宋_GB2312" w:hAnsi="仿宋_GB2312" w:eastAsia="仿宋_GB2312" w:cs="仿宋_GB2312"/>
          <w:color w:val="auto"/>
          <w:sz w:val="32"/>
          <w:szCs w:val="32"/>
          <w:highlight w:val="none"/>
          <w:lang w:val="en-US" w:eastAsia="zh-CN"/>
        </w:rPr>
        <w:t>。</w:t>
      </w:r>
    </w:p>
    <w:p w14:paraId="16C9811B">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20.7  本合同生效之后，如乙方存在违约情形，除了应当承担违约责任支付违约金之外，还应当承担甲方主张权益的一切费用，包括但不限于律师费、诉讼费、公证费、保全费、保全保险费等。</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第二十一条 </w:t>
      </w:r>
      <w:r>
        <w:rPr>
          <w:rFonts w:hint="eastAsia" w:ascii="仿宋_GB2312" w:hAnsi="仿宋_GB2312" w:eastAsia="仿宋_GB2312" w:cs="仿宋_GB2312"/>
          <w:b/>
          <w:bCs/>
          <w:color w:val="auto"/>
          <w:sz w:val="32"/>
          <w:szCs w:val="32"/>
          <w:highlight w:val="none"/>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租赁期限届满前，</w:t>
      </w:r>
      <w:r>
        <w:rPr>
          <w:rFonts w:hint="eastAsia" w:ascii="仿宋_GB2312" w:hAnsi="仿宋_GB2312" w:eastAsia="仿宋_GB2312" w:cs="仿宋_GB2312"/>
          <w:color w:val="auto"/>
          <w:sz w:val="32"/>
          <w:szCs w:val="32"/>
          <w:highlight w:val="none"/>
          <w:lang w:val="en-US" w:eastAsia="zh-CN"/>
        </w:rPr>
        <w:t>乙方拥有同等条件下优先续约权。</w:t>
      </w:r>
      <w:r>
        <w:rPr>
          <w:rFonts w:hint="eastAsia" w:ascii="仿宋_GB2312" w:hAnsi="仿宋_GB2312" w:eastAsia="仿宋_GB2312" w:cs="仿宋_GB2312"/>
          <w:color w:val="auto"/>
          <w:sz w:val="32"/>
          <w:szCs w:val="32"/>
          <w:highlight w:val="none"/>
        </w:rPr>
        <w:t>如双方协商续租，则最迟应当在租赁期限届满之日90日前按照甲方新的租赁政策及租金标准签署新的租赁合同或续租协议。逾期未能签署新的租赁合同或续租协议的，甲方有权将该房屋另行出租。</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第二十二条</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bCs/>
          <w:color w:val="auto"/>
          <w:sz w:val="32"/>
          <w:szCs w:val="32"/>
          <w:highlight w:val="none"/>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如乙方未将房屋恢复</w:t>
      </w:r>
      <w:r>
        <w:rPr>
          <w:rFonts w:hint="eastAsia" w:ascii="仿宋_GB2312" w:hAnsi="仿宋_GB2312" w:eastAsia="仿宋_GB2312" w:cs="仿宋_GB2312"/>
          <w:color w:val="auto"/>
          <w:sz w:val="32"/>
          <w:szCs w:val="32"/>
          <w:highlight w:val="none"/>
          <w:lang w:val="en-US" w:eastAsia="zh-CN"/>
        </w:rPr>
        <w:t>原状（见附件5）</w:t>
      </w:r>
      <w:r>
        <w:rPr>
          <w:rFonts w:hint="eastAsia" w:ascii="仿宋_GB2312" w:hAnsi="仿宋_GB2312" w:eastAsia="仿宋_GB2312" w:cs="仿宋_GB2312"/>
          <w:color w:val="auto"/>
          <w:sz w:val="32"/>
          <w:szCs w:val="32"/>
          <w:highlight w:val="none"/>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.4  如乙方未办理交还手续而撤离该房屋</w:t>
      </w:r>
      <w:r>
        <w:rPr>
          <w:rFonts w:hint="eastAsia" w:ascii="仿宋_GB2312" w:hAnsi="仿宋_GB2312" w:eastAsia="仿宋_GB2312" w:cs="仿宋_GB2312"/>
          <w:color w:val="auto"/>
          <w:sz w:val="32"/>
          <w:szCs w:val="32"/>
          <w:highlight w:val="none"/>
          <w:lang w:val="en-US" w:eastAsia="zh-CN"/>
        </w:rPr>
        <w:t>超过7日</w:t>
      </w:r>
      <w:r>
        <w:rPr>
          <w:rFonts w:hint="eastAsia" w:ascii="仿宋_GB2312" w:hAnsi="仿宋_GB2312" w:eastAsia="仿宋_GB2312" w:cs="仿宋_GB2312"/>
          <w:color w:val="auto"/>
          <w:sz w:val="32"/>
          <w:szCs w:val="32"/>
          <w:highlight w:val="none"/>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24.1</w:t>
      </w:r>
      <w:r>
        <w:rPr>
          <w:rFonts w:hint="eastAsia" w:ascii="仿宋_GB2312" w:hAnsi="仿宋_GB2312" w:eastAsia="仿宋_GB2312" w:cs="仿宋_GB2312"/>
          <w:color w:val="auto"/>
          <w:sz w:val="32"/>
          <w:szCs w:val="32"/>
          <w:highlight w:val="none"/>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24.2</w:t>
      </w:r>
      <w:r>
        <w:rPr>
          <w:rFonts w:hint="eastAsia" w:ascii="仿宋_GB2312" w:hAnsi="仿宋_GB2312" w:eastAsia="仿宋_GB2312" w:cs="仿宋_GB2312"/>
          <w:color w:val="auto"/>
          <w:sz w:val="32"/>
          <w:szCs w:val="32"/>
          <w:highlight w:val="none"/>
        </w:rPr>
        <w:t>一方若指定其他地址或地址变更，须及时以书面形式通知另一方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以挂号信方式发出的，以寄信回执作为发送凭证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24.3</w:t>
      </w:r>
      <w:r>
        <w:rPr>
          <w:rFonts w:hint="eastAsia" w:ascii="仿宋_GB2312" w:hAnsi="仿宋_GB2312" w:eastAsia="仿宋_GB2312" w:cs="仿宋_GB2312"/>
          <w:color w:val="auto"/>
          <w:sz w:val="32"/>
          <w:szCs w:val="32"/>
          <w:highlight w:val="none"/>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第二十六条 </w:t>
      </w:r>
      <w:r>
        <w:rPr>
          <w:rFonts w:hint="eastAsia" w:ascii="仿宋_GB2312" w:hAnsi="仿宋_GB2312" w:eastAsia="仿宋_GB2312" w:cs="仿宋_GB2312"/>
          <w:b/>
          <w:bCs/>
          <w:color w:val="auto"/>
          <w:sz w:val="32"/>
          <w:szCs w:val="32"/>
          <w:highlight w:val="none"/>
        </w:rPr>
        <w:t>其他</w:t>
      </w:r>
    </w:p>
    <w:p w14:paraId="0B48139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6B33DD98">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4AF5650D">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26.4</w:t>
      </w:r>
      <w:r>
        <w:rPr>
          <w:rFonts w:hint="eastAsia" w:ascii="仿宋_GB2312" w:hAnsi="仿宋_GB2312" w:eastAsia="仿宋_GB2312" w:cs="仿宋_GB2312"/>
          <w:color w:val="auto"/>
          <w:sz w:val="32"/>
          <w:szCs w:val="32"/>
          <w:highlight w:val="none"/>
        </w:rPr>
        <w:t>本合同自双方</w:t>
      </w:r>
      <w:r>
        <w:rPr>
          <w:rFonts w:hint="eastAsia" w:ascii="仿宋_GB2312" w:hAnsi="仿宋_GB2312" w:eastAsia="仿宋_GB2312" w:cs="仿宋_GB2312"/>
          <w:color w:val="auto"/>
          <w:sz w:val="32"/>
          <w:szCs w:val="32"/>
          <w:highlight w:val="none"/>
          <w:lang w:val="en-US" w:eastAsia="zh-CN"/>
        </w:rPr>
        <w:t>加盖公章</w:t>
      </w:r>
      <w:r>
        <w:rPr>
          <w:rFonts w:hint="eastAsia" w:ascii="仿宋_GB2312" w:hAnsi="仿宋_GB2312" w:eastAsia="仿宋_GB2312" w:cs="仿宋_GB2312"/>
          <w:color w:val="auto"/>
          <w:sz w:val="32"/>
          <w:szCs w:val="32"/>
          <w:highlight w:val="none"/>
        </w:rPr>
        <w:t>（乙方为自然人的，乙方应采用签字</w:t>
      </w:r>
      <w:r>
        <w:rPr>
          <w:rFonts w:hint="eastAsia" w:ascii="仿宋_GB2312" w:hAnsi="仿宋_GB2312" w:eastAsia="仿宋_GB2312" w:cs="仿宋_GB2312"/>
          <w:color w:val="auto"/>
          <w:sz w:val="32"/>
          <w:szCs w:val="32"/>
          <w:highlight w:val="none"/>
          <w:lang w:val="en-US" w:eastAsia="zh-CN"/>
        </w:rPr>
        <w:t>捺印</w:t>
      </w:r>
      <w:r>
        <w:rPr>
          <w:rFonts w:hint="eastAsia" w:ascii="仿宋_GB2312" w:hAnsi="仿宋_GB2312" w:eastAsia="仿宋_GB2312" w:cs="仿宋_GB2312"/>
          <w:color w:val="auto"/>
          <w:sz w:val="32"/>
          <w:szCs w:val="32"/>
          <w:highlight w:val="none"/>
        </w:rPr>
        <w:t>方式确认）之日起生效。本合同</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式</w:t>
      </w:r>
      <w:r>
        <w:rPr>
          <w:rFonts w:hint="eastAsia" w:ascii="仿宋_GB2312" w:hAnsi="仿宋_GB2312" w:eastAsia="仿宋_GB2312" w:cs="仿宋_GB2312"/>
          <w:color w:val="auto"/>
          <w:sz w:val="32"/>
          <w:szCs w:val="32"/>
          <w:highlight w:val="none"/>
          <w:lang w:val="en-US" w:eastAsia="zh-CN"/>
        </w:rPr>
        <w:t>伍</w:t>
      </w:r>
      <w:r>
        <w:rPr>
          <w:rFonts w:hint="eastAsia" w:ascii="仿宋_GB2312" w:hAnsi="仿宋_GB2312" w:eastAsia="仿宋_GB2312" w:cs="仿宋_GB2312"/>
          <w:color w:val="auto"/>
          <w:sz w:val="32"/>
          <w:szCs w:val="32"/>
          <w:highlight w:val="none"/>
        </w:rPr>
        <w:t>份，甲方</w:t>
      </w:r>
      <w:r>
        <w:rPr>
          <w:rFonts w:hint="eastAsia" w:ascii="仿宋_GB2312" w:hAnsi="仿宋_GB2312" w:eastAsia="仿宋_GB2312" w:cs="仿宋_GB2312"/>
          <w:color w:val="auto"/>
          <w:sz w:val="32"/>
          <w:szCs w:val="32"/>
          <w:highlight w:val="none"/>
          <w:lang w:val="en-US" w:eastAsia="zh-CN"/>
        </w:rPr>
        <w:t>肆</w:t>
      </w:r>
      <w:r>
        <w:rPr>
          <w:rFonts w:hint="eastAsia" w:ascii="仿宋_GB2312" w:hAnsi="仿宋_GB2312" w:eastAsia="仿宋_GB2312" w:cs="仿宋_GB2312"/>
          <w:color w:val="auto"/>
          <w:sz w:val="32"/>
          <w:szCs w:val="32"/>
          <w:highlight w:val="none"/>
        </w:rPr>
        <w:t>份、乙方</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份，具有同等法律效力。本合同附件构成合同的一部分，与本合同正文具有同等法律效力。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2BCF77F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附件2</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房屋交接确认书</w:t>
      </w:r>
    </w:p>
    <w:p w14:paraId="3449792E">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b w:val="0"/>
          <w:color w:val="auto"/>
          <w:sz w:val="32"/>
          <w:szCs w:val="32"/>
          <w:highlight w:val="none"/>
          <w:lang w:val="en-US" w:eastAsia="zh-CN"/>
        </w:rPr>
        <w:t>.</w:t>
      </w:r>
      <w:r>
        <w:rPr>
          <w:rStyle w:val="11"/>
          <w:rFonts w:hint="eastAsia" w:ascii="仿宋_GB2312" w:hAnsi="仿宋_GB2312" w:eastAsia="仿宋_GB2312" w:cs="仿宋_GB2312"/>
          <w:b w:val="0"/>
          <w:color w:val="auto"/>
          <w:sz w:val="32"/>
          <w:szCs w:val="32"/>
          <w:highlight w:val="none"/>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附件4.房屋交付标准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附件5.廉洁协议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联系电话：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联系电话：</w:t>
      </w:r>
      <w:r>
        <w:rPr>
          <w:rFonts w:hint="eastAsia" w:ascii="仿宋_GB2312" w:hAnsi="仿宋_GB2312" w:eastAsia="仿宋_GB2312" w:cs="仿宋_GB2312"/>
          <w:color w:val="auto"/>
          <w:sz w:val="32"/>
          <w:szCs w:val="32"/>
          <w:highlight w:val="none"/>
        </w:rPr>
        <w:t xml:space="preserve">             </w:t>
      </w:r>
    </w:p>
    <w:p w14:paraId="1DF0555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电子邮箱：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rPr>
        <w:t xml:space="preserve">              </w:t>
      </w:r>
    </w:p>
    <w:p w14:paraId="6E459738">
      <w:pPr>
        <w:keepNext w:val="0"/>
        <w:keepLines w:val="0"/>
        <w:pageBreakBefore w:val="0"/>
        <w:kinsoku/>
        <w:wordWrap/>
        <w:overflowPunct/>
        <w:topLinePunct w:val="0"/>
        <w:bidi w:val="0"/>
        <w:adjustRightInd/>
        <w:snapToGrid/>
        <w:spacing w:line="460" w:lineRule="exact"/>
        <w:contextualSpacing/>
        <w:jc w:val="both"/>
        <w:textAlignment w:val="top"/>
        <w:rPr>
          <w:rFonts w:hint="default" w:ascii="仿宋_GB2312" w:hAnsi="仿宋_GB2312" w:eastAsia="仿宋_GB2312" w:cs="仿宋_GB2312"/>
          <w:color w:val="auto"/>
          <w:sz w:val="32"/>
          <w:szCs w:val="32"/>
          <w:highlight w:val="none"/>
          <w:lang w:val="en-US" w:eastAsia="zh-CN"/>
        </w:rPr>
      </w:pPr>
    </w:p>
    <w:p w14:paraId="3F26F2C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color w:val="auto"/>
          <w:sz w:val="32"/>
          <w:szCs w:val="32"/>
          <w:highlight w:val="none"/>
        </w:rPr>
        <w:t>签署日期：    年    月    日</w:t>
      </w:r>
    </w:p>
    <w:p w14:paraId="238B7081">
      <w:pPr>
        <w:rPr>
          <w:rFonts w:hint="eastAsia"/>
          <w:color w:val="auto"/>
          <w:highlight w:val="none"/>
        </w:rPr>
      </w:pPr>
      <w:r>
        <w:rPr>
          <w:rFonts w:hint="eastAsia"/>
          <w:color w:val="auto"/>
          <w:highlight w:val="none"/>
        </w:rPr>
        <w:br w:type="page"/>
      </w:r>
    </w:p>
    <w:p w14:paraId="1DBD3FCF">
      <w:pPr>
        <w:bidi w:val="0"/>
        <w:rPr>
          <w:rFonts w:hint="eastAsia"/>
          <w:b/>
          <w:bCs/>
          <w:color w:val="auto"/>
          <w:highlight w:val="none"/>
        </w:rPr>
      </w:pPr>
      <w:r>
        <w:rPr>
          <w:rFonts w:hint="eastAsia" w:ascii="宋体" w:hAnsi="宋体" w:eastAsia="宋体" w:cs="宋体"/>
          <w:b/>
          <w:bCs/>
          <w:color w:val="auto"/>
          <w:sz w:val="32"/>
          <w:szCs w:val="32"/>
          <w:highlight w:val="none"/>
        </w:rPr>
        <w:t>附件1</w:t>
      </w:r>
    </w:p>
    <w:p w14:paraId="009EDF65">
      <w:pPr>
        <w:spacing w:line="360" w:lineRule="auto"/>
        <w:jc w:val="center"/>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商铺位置示意图</w:t>
      </w:r>
    </w:p>
    <w:p w14:paraId="6881B4AB">
      <w:pPr>
        <w:spacing w:line="360" w:lineRule="auto"/>
        <w:jc w:val="center"/>
        <w:rPr>
          <w:rFonts w:hint="eastAsia" w:ascii="小标宋" w:hAnsi="小标宋" w:eastAsia="小标宋" w:cs="小标宋"/>
          <w:b/>
          <w:color w:val="auto"/>
          <w:sz w:val="44"/>
          <w:szCs w:val="44"/>
          <w:highlight w:val="none"/>
          <w:lang w:eastAsia="zh-CN"/>
        </w:rPr>
      </w:pPr>
      <w:r>
        <w:rPr>
          <w:rFonts w:hint="eastAsia" w:ascii="小标宋" w:hAnsi="小标宋" w:eastAsia="小标宋" w:cs="小标宋"/>
          <w:b/>
          <w:color w:val="auto"/>
          <w:sz w:val="44"/>
          <w:szCs w:val="44"/>
          <w:highlight w:val="none"/>
          <w:lang w:eastAsia="zh-CN"/>
        </w:rPr>
        <w:drawing>
          <wp:inline distT="0" distB="0" distL="114300" distR="114300">
            <wp:extent cx="5162550" cy="3514725"/>
            <wp:effectExtent l="0" t="0" r="0" b="9525"/>
            <wp:docPr id="4" name="图片 4" descr="b46300319ffdbeb3c3e6f3fda3eb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46300319ffdbeb3c3e6f3fda3eb67c"/>
                    <pic:cNvPicPr>
                      <a:picLocks noChangeAspect="1"/>
                    </pic:cNvPicPr>
                  </pic:nvPicPr>
                  <pic:blipFill>
                    <a:blip r:embed="rId6"/>
                    <a:stretch>
                      <a:fillRect/>
                    </a:stretch>
                  </pic:blipFill>
                  <pic:spPr>
                    <a:xfrm>
                      <a:off x="0" y="0"/>
                      <a:ext cx="5162550" cy="3514725"/>
                    </a:xfrm>
                    <a:prstGeom prst="rect">
                      <a:avLst/>
                    </a:prstGeom>
                  </pic:spPr>
                </pic:pic>
              </a:graphicData>
            </a:graphic>
          </wp:inline>
        </w:drawing>
      </w:r>
    </w:p>
    <w:p w14:paraId="0F372586">
      <w:pPr>
        <w:spacing w:line="360" w:lineRule="auto"/>
        <w:jc w:val="center"/>
        <w:rPr>
          <w:rFonts w:hint="eastAsia"/>
          <w:color w:val="auto"/>
          <w:highlight w:val="none"/>
        </w:rPr>
      </w:pPr>
    </w:p>
    <w:p w14:paraId="7D3F3FBC">
      <w:pPr>
        <w:spacing w:line="360" w:lineRule="auto"/>
        <w:jc w:val="center"/>
        <w:rPr>
          <w:rFonts w:hint="eastAsia"/>
          <w:color w:val="auto"/>
          <w:highlight w:val="none"/>
        </w:rPr>
      </w:pPr>
    </w:p>
    <w:p w14:paraId="31AC66AC">
      <w:pPr>
        <w:spacing w:line="360" w:lineRule="auto"/>
        <w:jc w:val="center"/>
        <w:rPr>
          <w:rFonts w:hint="eastAsia"/>
          <w:color w:val="auto"/>
          <w:highlight w:val="none"/>
        </w:rPr>
      </w:pPr>
    </w:p>
    <w:p w14:paraId="18F21809">
      <w:pPr>
        <w:spacing w:line="360" w:lineRule="auto"/>
        <w:jc w:val="center"/>
        <w:rPr>
          <w:rFonts w:hint="eastAsia"/>
          <w:color w:val="auto"/>
          <w:highlight w:val="none"/>
        </w:rPr>
      </w:pPr>
    </w:p>
    <w:p w14:paraId="7EDCF4C6">
      <w:pPr>
        <w:spacing w:line="360" w:lineRule="auto"/>
        <w:jc w:val="center"/>
        <w:rPr>
          <w:rFonts w:hint="eastAsia"/>
          <w:color w:val="auto"/>
          <w:highlight w:val="none"/>
        </w:rPr>
      </w:pPr>
    </w:p>
    <w:p w14:paraId="0F19832D">
      <w:pPr>
        <w:spacing w:line="360" w:lineRule="auto"/>
        <w:jc w:val="center"/>
        <w:rPr>
          <w:rFonts w:hint="eastAsia"/>
          <w:color w:val="auto"/>
          <w:highlight w:val="none"/>
        </w:rPr>
      </w:pPr>
    </w:p>
    <w:p w14:paraId="111CCA63">
      <w:pPr>
        <w:spacing w:line="360" w:lineRule="auto"/>
        <w:jc w:val="center"/>
        <w:rPr>
          <w:rFonts w:hint="eastAsia"/>
          <w:color w:val="auto"/>
          <w:highlight w:val="none"/>
        </w:rPr>
      </w:pPr>
    </w:p>
    <w:p w14:paraId="6C49D878">
      <w:pPr>
        <w:spacing w:line="360" w:lineRule="auto"/>
        <w:jc w:val="center"/>
        <w:rPr>
          <w:rFonts w:hint="eastAsia"/>
          <w:color w:val="auto"/>
          <w:highlight w:val="none"/>
        </w:rPr>
      </w:pPr>
    </w:p>
    <w:p w14:paraId="316F913C">
      <w:pPr>
        <w:spacing w:line="360" w:lineRule="auto"/>
        <w:jc w:val="center"/>
        <w:rPr>
          <w:rFonts w:hint="eastAsia"/>
          <w:color w:val="auto"/>
          <w:highlight w:val="none"/>
        </w:rPr>
      </w:pPr>
    </w:p>
    <w:p w14:paraId="5723655D">
      <w:pPr>
        <w:spacing w:line="360" w:lineRule="auto"/>
        <w:jc w:val="center"/>
        <w:rPr>
          <w:rFonts w:hint="eastAsia"/>
          <w:color w:val="auto"/>
          <w:highlight w:val="none"/>
        </w:rPr>
      </w:pPr>
    </w:p>
    <w:p w14:paraId="1159E7D9">
      <w:pPr>
        <w:spacing w:line="360" w:lineRule="auto"/>
        <w:jc w:val="center"/>
        <w:rPr>
          <w:rFonts w:hint="eastAsia"/>
          <w:color w:val="auto"/>
          <w:highlight w:val="none"/>
        </w:rPr>
      </w:pPr>
    </w:p>
    <w:p w14:paraId="48352156">
      <w:pPr>
        <w:spacing w:line="360" w:lineRule="auto"/>
        <w:jc w:val="center"/>
        <w:rPr>
          <w:rFonts w:hint="eastAsia"/>
          <w:color w:val="auto"/>
          <w:highlight w:val="none"/>
        </w:rPr>
      </w:pPr>
    </w:p>
    <w:p w14:paraId="06D372A2">
      <w:pPr>
        <w:rPr>
          <w:rFonts w:hint="eastAsia"/>
          <w:color w:val="auto"/>
          <w:highlight w:val="none"/>
        </w:rPr>
      </w:pPr>
    </w:p>
    <w:p w14:paraId="2FBB5549">
      <w:pPr>
        <w:rPr>
          <w:rFonts w:hint="eastAsia"/>
          <w:color w:val="auto"/>
          <w:highlight w:val="none"/>
        </w:rPr>
      </w:pPr>
    </w:p>
    <w:p w14:paraId="332DCB4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67FFDB6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43021B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7C726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jc w:val="both"/>
        <w:textAlignment w:val="auto"/>
        <w:rPr>
          <w:rFonts w:ascii="宋体" w:hAnsi="宋体"/>
          <w:color w:val="auto"/>
          <w:szCs w:val="21"/>
          <w:highlight w:val="none"/>
        </w:rPr>
      </w:pPr>
    </w:p>
    <w:p w14:paraId="17DA51F8">
      <w:pPr>
        <w:keepNext w:val="0"/>
        <w:keepLines w:val="0"/>
        <w:pageBreakBefore w:val="0"/>
        <w:widowControl w:val="0"/>
        <w:kinsoku/>
        <w:wordWrap/>
        <w:overflowPunct/>
        <w:topLinePunct w:val="0"/>
        <w:autoSpaceDE/>
        <w:autoSpaceDN/>
        <w:bidi w:val="0"/>
        <w:adjustRightInd/>
        <w:snapToGrid/>
        <w:spacing w:line="560" w:lineRule="exact"/>
        <w:ind w:firstLine="934" w:firstLineChars="29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05DE1038">
      <w:pPr>
        <w:keepNext w:val="0"/>
        <w:keepLines w:val="0"/>
        <w:pageBreakBefore w:val="0"/>
        <w:widowControl w:val="0"/>
        <w:kinsoku/>
        <w:wordWrap/>
        <w:overflowPunct/>
        <w:topLinePunct w:val="0"/>
        <w:autoSpaceDE/>
        <w:autoSpaceDN/>
        <w:bidi w:val="0"/>
        <w:adjustRightInd/>
        <w:snapToGrid/>
        <w:spacing w:line="560" w:lineRule="exact"/>
        <w:ind w:firstLine="576"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w:t>
      </w:r>
      <w:r>
        <w:rPr>
          <w:rFonts w:hint="eastAsia" w:ascii="仿宋_GB2312" w:hAnsi="仿宋_GB2312" w:eastAsia="仿宋_GB2312" w:cs="仿宋_GB2312"/>
          <w:color w:val="auto"/>
          <w:w w:val="100"/>
          <w:sz w:val="32"/>
          <w:szCs w:val="32"/>
        </w:rPr>
        <w:t>按期开业。</w:t>
      </w:r>
    </w:p>
    <w:p w14:paraId="547E88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32F995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8C0238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49A86A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B5F195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07A8C6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 xml:space="preserve">    年     月    日</w:t>
      </w:r>
      <w:r>
        <w:rPr>
          <w:rFonts w:hint="eastAsia" w:ascii="仿宋_GB2312" w:hAnsi="仿宋_GB2312" w:eastAsia="仿宋_GB2312" w:cs="仿宋_GB2312"/>
          <w:color w:val="auto"/>
          <w:sz w:val="32"/>
          <w:szCs w:val="32"/>
          <w:highlight w:val="none"/>
          <w:lang w:val="en-US" w:eastAsia="zh-CN"/>
        </w:rPr>
        <w:t xml:space="preserve">         </w:t>
      </w:r>
    </w:p>
    <w:p w14:paraId="5D758503">
      <w:pPr>
        <w:spacing w:line="360" w:lineRule="auto"/>
        <w:ind w:firstLine="5565" w:firstLineChars="2650"/>
        <w:jc w:val="both"/>
        <w:rPr>
          <w:rFonts w:ascii="宋体" w:hAnsi="宋体"/>
          <w:color w:val="auto"/>
          <w:szCs w:val="21"/>
          <w:highlight w:val="none"/>
        </w:rPr>
      </w:pPr>
    </w:p>
    <w:p w14:paraId="37015E9F">
      <w:pPr>
        <w:snapToGrid w:val="0"/>
        <w:spacing w:before="120" w:beforeLines="50" w:line="360" w:lineRule="auto"/>
        <w:jc w:val="both"/>
        <w:rPr>
          <w:rFonts w:ascii="宋体" w:hAnsi="宋体"/>
          <w:b/>
          <w:color w:val="auto"/>
          <w:szCs w:val="21"/>
          <w:highlight w:val="none"/>
        </w:rPr>
      </w:pPr>
    </w:p>
    <w:p w14:paraId="27215E7C">
      <w:pPr>
        <w:snapToGrid w:val="0"/>
        <w:spacing w:before="120" w:beforeLines="50" w:line="360" w:lineRule="auto"/>
        <w:jc w:val="both"/>
        <w:rPr>
          <w:rFonts w:ascii="宋体" w:hAnsi="宋体"/>
          <w:b/>
          <w:color w:val="auto"/>
          <w:szCs w:val="21"/>
          <w:highlight w:val="none"/>
        </w:rPr>
      </w:pPr>
    </w:p>
    <w:p w14:paraId="041CBB60">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附件3</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highlight w:val="none"/>
        </w:rPr>
      </w:pPr>
      <w:r>
        <w:rPr>
          <w:rFonts w:hint="eastAsia" w:ascii="小标宋" w:hAnsi="小标宋" w:eastAsia="小标宋" w:cs="小标宋"/>
          <w:b/>
          <w:color w:val="auto"/>
          <w:sz w:val="44"/>
          <w:szCs w:val="44"/>
          <w:highlight w:val="none"/>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highlight w:val="none"/>
        </w:rPr>
      </w:pPr>
    </w:p>
    <w:p w14:paraId="43C36D51">
      <w:pPr>
        <w:keepNext w:val="0"/>
        <w:keepLines w:val="0"/>
        <w:pageBreakBefore w:val="0"/>
        <w:widowControl/>
        <w:kinsoku/>
        <w:wordWrap/>
        <w:overflowPunct/>
        <w:topLinePunct w:val="0"/>
        <w:autoSpaceDE/>
        <w:autoSpaceDN/>
        <w:bidi w:val="0"/>
        <w:adjustRightInd/>
        <w:spacing w:line="560" w:lineRule="exact"/>
        <w:ind w:firstLine="48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向</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w:t>
      </w:r>
      <w:r>
        <w:rPr>
          <w:rFonts w:hint="eastAsia" w:ascii="仿宋_GB2312" w:hAnsi="仿宋_GB2312" w:eastAsia="仿宋_GB2312" w:cs="仿宋_GB2312"/>
          <w:b/>
          <w:bCs/>
          <w:color w:val="auto"/>
          <w:sz w:val="32"/>
          <w:szCs w:val="32"/>
          <w:highlight w:val="none"/>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十一、</w:t>
      </w:r>
      <w:r>
        <w:rPr>
          <w:rFonts w:hint="eastAsia" w:ascii="仿宋_GB2312" w:hAnsi="仿宋_GB2312" w:eastAsia="仿宋_GB2312" w:cs="仿宋_GB2312"/>
          <w:b/>
          <w:bCs/>
          <w:color w:val="auto"/>
          <w:sz w:val="32"/>
          <w:szCs w:val="32"/>
          <w:highlight w:val="none"/>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十二、</w:t>
      </w:r>
      <w:r>
        <w:rPr>
          <w:rFonts w:hint="eastAsia" w:ascii="仿宋_GB2312" w:hAnsi="仿宋_GB2312" w:eastAsia="仿宋_GB2312" w:cs="仿宋_GB2312"/>
          <w:b/>
          <w:bCs/>
          <w:color w:val="auto"/>
          <w:sz w:val="32"/>
          <w:szCs w:val="32"/>
          <w:highlight w:val="none"/>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color w:val="auto"/>
          <w:sz w:val="32"/>
          <w:szCs w:val="32"/>
          <w:highlight w:val="none"/>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说明：</w:t>
      </w:r>
      <w:r>
        <w:rPr>
          <w:rFonts w:hint="eastAsia" w:ascii="仿宋_GB2312" w:hAnsi="仿宋_GB2312" w:eastAsia="仿宋_GB2312" w:cs="仿宋_GB2312"/>
          <w:b/>
          <w:bCs/>
          <w:color w:val="auto"/>
          <w:sz w:val="32"/>
          <w:szCs w:val="32"/>
          <w:highlight w:val="none"/>
        </w:rPr>
        <w:t>装修设计图纸需由租户自行申报至消防主管部门，并取得同意批复。</w:t>
      </w:r>
    </w:p>
    <w:p w14:paraId="4CC56E2C">
      <w:pPr>
        <w:jc w:val="both"/>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br w:type="page"/>
      </w:r>
    </w:p>
    <w:p w14:paraId="2990661D">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4</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highlight w:val="none"/>
        </w:rPr>
      </w:pPr>
      <w:r>
        <w:rPr>
          <w:rFonts w:hint="eastAsia" w:ascii="小标宋" w:hAnsi="小标宋" w:eastAsia="小标宋" w:cs="小标宋"/>
          <w:b/>
          <w:color w:val="auto"/>
          <w:sz w:val="44"/>
          <w:szCs w:val="44"/>
          <w:highlight w:val="none"/>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jc w:val="both"/>
        <w:textAlignment w:val="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商铺号：</w:t>
      </w:r>
      <w:r>
        <w:rPr>
          <w:rFonts w:hint="eastAsia" w:ascii="仿宋_GB2312" w:hAnsi="仿宋_GB2312" w:eastAsia="仿宋_GB2312" w:cs="仿宋_GB2312"/>
          <w:color w:val="auto"/>
          <w:szCs w:val="21"/>
          <w:highlight w:val="none"/>
          <w:lang w:val="en-US" w:eastAsia="zh-CN"/>
        </w:rPr>
        <w:t xml:space="preserve"> </w:t>
      </w:r>
      <w:r>
        <w:rPr>
          <w:rFonts w:hint="eastAsia" w:ascii="仿宋_GB2312" w:hAnsi="仿宋_GB2312" w:eastAsia="仿宋_GB2312" w:cs="仿宋_GB2312"/>
          <w:color w:val="auto"/>
          <w:szCs w:val="21"/>
          <w:highlight w:val="none"/>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9"/>
        <w:gridCol w:w="1684"/>
        <w:gridCol w:w="2012"/>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60A581A9">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项目名称</w:t>
            </w:r>
          </w:p>
        </w:tc>
        <w:tc>
          <w:tcPr>
            <w:tcW w:w="1684" w:type="dxa"/>
            <w:vAlign w:val="bottom"/>
          </w:tcPr>
          <w:p w14:paraId="130C4054">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状况</w:t>
            </w:r>
          </w:p>
        </w:tc>
        <w:tc>
          <w:tcPr>
            <w:tcW w:w="2012" w:type="dxa"/>
            <w:vAlign w:val="bottom"/>
          </w:tcPr>
          <w:p w14:paraId="5C4521F3">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0821DA9D">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1684" w:type="dxa"/>
            <w:vAlign w:val="bottom"/>
          </w:tcPr>
          <w:p w14:paraId="5277AF9E">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2012" w:type="dxa"/>
            <w:vAlign w:val="bottom"/>
          </w:tcPr>
          <w:p w14:paraId="305349B7">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4" w:hRule="atLeast"/>
          <w:jc w:val="center"/>
        </w:trPr>
        <w:tc>
          <w:tcPr>
            <w:tcW w:w="7475" w:type="dxa"/>
            <w:gridSpan w:val="3"/>
            <w:vAlign w:val="center"/>
          </w:tcPr>
          <w:p w14:paraId="11A4A18A">
            <w:pPr>
              <w:spacing w:line="360" w:lineRule="auto"/>
              <w:jc w:val="both"/>
              <w:rPr>
                <w:rFonts w:hint="eastAsia" w:ascii="仿宋_GB2312" w:hAnsi="仿宋_GB2312" w:eastAsia="仿宋_GB2312" w:cs="仿宋_GB2312"/>
                <w:color w:val="auto"/>
                <w:highlight w:val="none"/>
              </w:rPr>
            </w:pPr>
          </w:p>
          <w:p w14:paraId="68B38BAC">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 xml:space="preserve">   </w:t>
            </w:r>
          </w:p>
          <w:p w14:paraId="4B4D3D64">
            <w:pPr>
              <w:spacing w:line="360" w:lineRule="auto"/>
              <w:jc w:val="both"/>
              <w:rPr>
                <w:rFonts w:hint="eastAsia" w:ascii="仿宋_GB2312" w:hAnsi="仿宋_GB2312" w:eastAsia="仿宋_GB2312" w:cs="仿宋_GB2312"/>
                <w:color w:val="auto"/>
                <w:szCs w:val="21"/>
                <w:highlight w:val="none"/>
              </w:rPr>
            </w:pPr>
          </w:p>
          <w:p w14:paraId="5BB55D15">
            <w:pPr>
              <w:spacing w:line="360" w:lineRule="auto"/>
              <w:jc w:val="both"/>
              <w:rPr>
                <w:rFonts w:hint="eastAsia" w:ascii="仿宋_GB2312" w:hAnsi="仿宋_GB2312" w:eastAsia="仿宋_GB2312" w:cs="仿宋_GB2312"/>
                <w:color w:val="auto"/>
                <w:szCs w:val="21"/>
                <w:highlight w:val="none"/>
              </w:rPr>
            </w:pPr>
          </w:p>
          <w:p w14:paraId="59A37A0F">
            <w:pPr>
              <w:spacing w:line="360" w:lineRule="auto"/>
              <w:jc w:val="both"/>
              <w:rPr>
                <w:rFonts w:hint="eastAsia" w:ascii="仿宋_GB2312" w:hAnsi="仿宋_GB2312" w:eastAsia="仿宋_GB2312" w:cs="仿宋_GB2312"/>
                <w:color w:val="auto"/>
                <w:szCs w:val="21"/>
                <w:highlight w:val="none"/>
              </w:rPr>
            </w:pPr>
          </w:p>
          <w:p w14:paraId="027A9ECE">
            <w:pPr>
              <w:spacing w:line="360" w:lineRule="auto"/>
              <w:jc w:val="both"/>
              <w:rPr>
                <w:rFonts w:hint="eastAsia" w:ascii="仿宋_GB2312" w:hAnsi="仿宋_GB2312" w:eastAsia="仿宋_GB2312" w:cs="仿宋_GB2312"/>
                <w:color w:val="auto"/>
                <w:szCs w:val="21"/>
                <w:highlight w:val="none"/>
              </w:rPr>
            </w:pPr>
          </w:p>
          <w:p w14:paraId="67F43CC3">
            <w:pPr>
              <w:spacing w:line="360" w:lineRule="auto"/>
              <w:jc w:val="both"/>
              <w:rPr>
                <w:rFonts w:hint="eastAsia" w:ascii="仿宋_GB2312" w:hAnsi="仿宋_GB2312" w:eastAsia="仿宋_GB2312" w:cs="仿宋_GB2312"/>
                <w:color w:val="auto"/>
                <w:szCs w:val="21"/>
                <w:highlight w:val="none"/>
              </w:rPr>
            </w:pPr>
          </w:p>
          <w:p w14:paraId="4BCFA490">
            <w:pPr>
              <w:spacing w:line="360" w:lineRule="auto"/>
              <w:jc w:val="both"/>
              <w:rPr>
                <w:rFonts w:hint="eastAsia" w:ascii="仿宋_GB2312" w:hAnsi="仿宋_GB2312" w:eastAsia="仿宋_GB2312" w:cs="仿宋_GB2312"/>
                <w:color w:val="auto"/>
                <w:szCs w:val="21"/>
                <w:highlight w:val="none"/>
              </w:rPr>
            </w:pPr>
          </w:p>
          <w:p w14:paraId="3A3E3336">
            <w:pPr>
              <w:spacing w:line="360" w:lineRule="auto"/>
              <w:jc w:val="both"/>
              <w:rPr>
                <w:rFonts w:hint="eastAsia" w:ascii="仿宋_GB2312" w:hAnsi="仿宋_GB2312" w:eastAsia="仿宋_GB2312" w:cs="仿宋_GB2312"/>
                <w:color w:val="auto"/>
                <w:szCs w:val="21"/>
                <w:highlight w:val="none"/>
              </w:rPr>
            </w:pPr>
          </w:p>
          <w:p w14:paraId="22C8B521">
            <w:pPr>
              <w:spacing w:line="360" w:lineRule="auto"/>
              <w:jc w:val="both"/>
              <w:rPr>
                <w:rFonts w:hint="eastAsia" w:ascii="仿宋_GB2312" w:hAnsi="仿宋_GB2312" w:eastAsia="仿宋_GB2312" w:cs="仿宋_GB2312"/>
                <w:color w:val="auto"/>
                <w:szCs w:val="21"/>
                <w:highlight w:val="none"/>
              </w:rPr>
            </w:pPr>
          </w:p>
          <w:p w14:paraId="51DB453C">
            <w:pPr>
              <w:spacing w:line="360" w:lineRule="auto"/>
              <w:jc w:val="both"/>
              <w:rPr>
                <w:rFonts w:hint="eastAsia" w:ascii="仿宋_GB2312" w:hAnsi="仿宋_GB2312" w:eastAsia="仿宋_GB2312" w:cs="仿宋_GB2312"/>
                <w:color w:val="auto"/>
                <w:szCs w:val="21"/>
                <w:highlight w:val="none"/>
              </w:rPr>
            </w:pPr>
          </w:p>
          <w:p w14:paraId="35B4DFE8">
            <w:pPr>
              <w:spacing w:line="360" w:lineRule="auto"/>
              <w:jc w:val="both"/>
              <w:rPr>
                <w:rFonts w:hint="eastAsia" w:ascii="仿宋_GB2312" w:hAnsi="仿宋_GB2312" w:eastAsia="仿宋_GB2312" w:cs="仿宋_GB2312"/>
                <w:color w:val="auto"/>
                <w:szCs w:val="21"/>
                <w:highlight w:val="none"/>
              </w:rPr>
            </w:pPr>
          </w:p>
          <w:p w14:paraId="128D1E17">
            <w:pPr>
              <w:spacing w:line="360" w:lineRule="auto"/>
              <w:jc w:val="both"/>
              <w:rPr>
                <w:rFonts w:hint="eastAsia" w:ascii="仿宋_GB2312" w:hAnsi="仿宋_GB2312" w:eastAsia="仿宋_GB2312" w:cs="仿宋_GB2312"/>
                <w:color w:val="auto"/>
                <w:szCs w:val="21"/>
                <w:highlight w:val="none"/>
              </w:rPr>
            </w:pPr>
          </w:p>
          <w:p w14:paraId="062C2F3A">
            <w:pPr>
              <w:spacing w:line="360" w:lineRule="auto"/>
              <w:jc w:val="both"/>
              <w:rPr>
                <w:rFonts w:hint="eastAsia" w:ascii="仿宋_GB2312" w:hAnsi="仿宋_GB2312" w:eastAsia="仿宋_GB2312" w:cs="仿宋_GB2312"/>
                <w:color w:val="auto"/>
                <w:szCs w:val="21"/>
                <w:highlight w:val="none"/>
              </w:rPr>
            </w:pPr>
          </w:p>
          <w:p w14:paraId="74921CC7">
            <w:pPr>
              <w:spacing w:line="360" w:lineRule="auto"/>
              <w:jc w:val="both"/>
              <w:rPr>
                <w:rFonts w:hint="eastAsia" w:ascii="仿宋_GB2312" w:hAnsi="仿宋_GB2312" w:eastAsia="仿宋_GB2312" w:cs="仿宋_GB2312"/>
                <w:color w:val="auto"/>
                <w:szCs w:val="21"/>
                <w:highlight w:val="none"/>
              </w:rPr>
            </w:pPr>
          </w:p>
          <w:p w14:paraId="3809111F">
            <w:pPr>
              <w:spacing w:line="360" w:lineRule="auto"/>
              <w:jc w:val="both"/>
              <w:rPr>
                <w:rFonts w:hint="eastAsia" w:ascii="仿宋_GB2312" w:hAnsi="仿宋_GB2312" w:eastAsia="仿宋_GB2312" w:cs="仿宋_GB2312"/>
                <w:color w:val="auto"/>
                <w:szCs w:val="21"/>
                <w:highlight w:val="none"/>
              </w:rPr>
            </w:pPr>
          </w:p>
          <w:p w14:paraId="591811E4">
            <w:pPr>
              <w:spacing w:line="360" w:lineRule="auto"/>
              <w:jc w:val="both"/>
              <w:rPr>
                <w:rFonts w:hint="eastAsia" w:ascii="仿宋_GB2312" w:hAnsi="仿宋_GB2312" w:eastAsia="仿宋_GB2312" w:cs="仿宋_GB2312"/>
                <w:color w:val="auto"/>
                <w:szCs w:val="21"/>
                <w:highlight w:val="none"/>
              </w:rPr>
            </w:pPr>
          </w:p>
          <w:p w14:paraId="0ABE8869">
            <w:pPr>
              <w:spacing w:line="360" w:lineRule="auto"/>
              <w:jc w:val="both"/>
              <w:rPr>
                <w:rFonts w:hint="eastAsia" w:ascii="仿宋_GB2312" w:hAnsi="仿宋_GB2312" w:eastAsia="仿宋_GB2312" w:cs="仿宋_GB2312"/>
                <w:color w:val="auto"/>
                <w:szCs w:val="21"/>
                <w:highlight w:val="none"/>
              </w:rPr>
            </w:pPr>
          </w:p>
          <w:p w14:paraId="163BEEB3">
            <w:pPr>
              <w:spacing w:line="360" w:lineRule="auto"/>
              <w:jc w:val="both"/>
              <w:rPr>
                <w:rFonts w:hint="eastAsia" w:ascii="仿宋_GB2312" w:hAnsi="仿宋_GB2312" w:eastAsia="仿宋_GB2312" w:cs="仿宋_GB2312"/>
                <w:color w:val="auto"/>
                <w:szCs w:val="21"/>
                <w:highlight w:val="none"/>
              </w:rPr>
            </w:pPr>
          </w:p>
          <w:p w14:paraId="33C4CDB1">
            <w:pPr>
              <w:spacing w:line="360" w:lineRule="auto"/>
              <w:jc w:val="both"/>
              <w:rPr>
                <w:rFonts w:hint="eastAsia" w:ascii="仿宋_GB2312" w:hAnsi="仿宋_GB2312" w:eastAsia="仿宋_GB2312" w:cs="仿宋_GB2312"/>
                <w:color w:val="auto"/>
                <w:szCs w:val="21"/>
                <w:highlight w:val="none"/>
              </w:rPr>
            </w:pPr>
          </w:p>
          <w:p w14:paraId="79034905">
            <w:pPr>
              <w:spacing w:line="360" w:lineRule="auto"/>
              <w:jc w:val="both"/>
              <w:rPr>
                <w:rFonts w:hint="eastAsia" w:ascii="仿宋_GB2312" w:hAnsi="仿宋_GB2312" w:eastAsia="仿宋_GB2312" w:cs="仿宋_GB2312"/>
                <w:color w:val="auto"/>
                <w:szCs w:val="21"/>
                <w:highlight w:val="none"/>
              </w:rPr>
            </w:pPr>
          </w:p>
          <w:p w14:paraId="60E37C0C">
            <w:pPr>
              <w:spacing w:line="360" w:lineRule="auto"/>
              <w:jc w:val="both"/>
              <w:rPr>
                <w:rFonts w:hint="eastAsia" w:ascii="仿宋_GB2312" w:hAnsi="仿宋_GB2312" w:eastAsia="仿宋_GB2312" w:cs="仿宋_GB2312"/>
                <w:color w:val="auto"/>
                <w:szCs w:val="21"/>
                <w:highlight w:val="none"/>
              </w:rPr>
            </w:pPr>
          </w:p>
          <w:p w14:paraId="0E05F4A8">
            <w:pPr>
              <w:spacing w:line="360" w:lineRule="auto"/>
              <w:jc w:val="both"/>
              <w:rPr>
                <w:rFonts w:hint="eastAsia" w:ascii="仿宋_GB2312" w:hAnsi="仿宋_GB2312" w:eastAsia="仿宋_GB2312" w:cs="仿宋_GB2312"/>
                <w:color w:val="auto"/>
                <w:szCs w:val="21"/>
                <w:highlight w:val="none"/>
              </w:rPr>
            </w:pPr>
          </w:p>
          <w:p w14:paraId="6CD27659">
            <w:pPr>
              <w:spacing w:line="360" w:lineRule="auto"/>
              <w:jc w:val="both"/>
              <w:rPr>
                <w:rFonts w:hint="eastAsia" w:ascii="仿宋_GB2312" w:hAnsi="仿宋_GB2312" w:eastAsia="仿宋_GB2312" w:cs="仿宋_GB2312"/>
                <w:color w:val="auto"/>
                <w:szCs w:val="21"/>
                <w:highlight w:val="none"/>
              </w:rPr>
            </w:pPr>
          </w:p>
          <w:p w14:paraId="0584154F">
            <w:pPr>
              <w:spacing w:line="360" w:lineRule="auto"/>
              <w:jc w:val="both"/>
              <w:rPr>
                <w:rFonts w:hint="eastAsia" w:ascii="仿宋_GB2312" w:hAnsi="仿宋_GB2312" w:eastAsia="仿宋_GB2312" w:cs="仿宋_GB2312"/>
                <w:color w:val="auto"/>
                <w:szCs w:val="21"/>
                <w:highlight w:val="none"/>
              </w:rPr>
            </w:pPr>
          </w:p>
          <w:p w14:paraId="5D2C6385">
            <w:pPr>
              <w:spacing w:line="360" w:lineRule="auto"/>
              <w:jc w:val="both"/>
              <w:rPr>
                <w:rFonts w:hint="eastAsia" w:ascii="仿宋_GB2312" w:hAnsi="仿宋_GB2312" w:eastAsia="仿宋_GB2312" w:cs="仿宋_GB2312"/>
                <w:color w:val="auto"/>
                <w:szCs w:val="21"/>
                <w:highlight w:val="none"/>
              </w:rPr>
            </w:pPr>
          </w:p>
          <w:p w14:paraId="4B848D7C">
            <w:pPr>
              <w:spacing w:line="360" w:lineRule="auto"/>
              <w:jc w:val="both"/>
              <w:rPr>
                <w:rFonts w:hint="eastAsia" w:ascii="仿宋_GB2312" w:hAnsi="仿宋_GB2312" w:eastAsia="仿宋_GB2312" w:cs="仿宋_GB2312"/>
                <w:color w:val="auto"/>
                <w:szCs w:val="21"/>
                <w:highlight w:val="none"/>
              </w:rPr>
            </w:pPr>
          </w:p>
        </w:tc>
      </w:tr>
    </w:tbl>
    <w:p w14:paraId="4152862E">
      <w:pPr>
        <w:spacing w:line="360" w:lineRule="auto"/>
        <w:jc w:val="both"/>
        <w:rPr>
          <w:rFonts w:hint="eastAsia" w:ascii="宋体" w:hAnsi="宋体"/>
          <w:b/>
          <w:color w:val="auto"/>
          <w:szCs w:val="21"/>
          <w:highlight w:val="none"/>
        </w:rPr>
      </w:pPr>
    </w:p>
    <w:p w14:paraId="2E23ABB6">
      <w:pPr>
        <w:keepNext w:val="0"/>
        <w:keepLines w:val="0"/>
        <w:pageBreakBefore w:val="0"/>
        <w:kinsoku/>
        <w:wordWrap/>
        <w:overflowPunct/>
        <w:topLinePunct w:val="0"/>
        <w:autoSpaceDE/>
        <w:autoSpaceDN/>
        <w:bidi w:val="0"/>
        <w:adjustRightInd/>
        <w:spacing w:line="560" w:lineRule="exact"/>
        <w:jc w:val="both"/>
        <w:textAlignment w:val="auto"/>
        <w:rPr>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5</w:t>
      </w:r>
    </w:p>
    <w:p w14:paraId="239F56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12DF400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446525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0CB27CA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258CD9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078749B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28100DE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7C757CE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6EC3266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6788A75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5A51AF7">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372DE2F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3711BAD2">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3EBDF391">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60F0B8A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230EEC0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059CB76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277CD717">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23578485">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lang w:eastAsia="zh-CN"/>
              </w:rPr>
            </w:pPr>
            <w:bookmarkStart w:id="0" w:name="_Toc430549338"/>
            <w:bookmarkEnd w:id="0"/>
            <w:bookmarkStart w:id="1" w:name="_Toc338"/>
            <w:bookmarkEnd w:id="1"/>
            <w:bookmarkStart w:id="2" w:name="_Toc26439"/>
            <w:bookmarkEnd w:id="2"/>
            <w:bookmarkStart w:id="3" w:name="_Toc4786"/>
            <w:bookmarkEnd w:id="3"/>
            <w:bookmarkStart w:id="4" w:name="_Toc468319317"/>
            <w:bookmarkEnd w:id="4"/>
            <w:bookmarkStart w:id="5" w:name="_Toc4544"/>
            <w:bookmarkEnd w:id="5"/>
            <w:bookmarkStart w:id="6" w:name="_Toc16870"/>
            <w:bookmarkEnd w:id="6"/>
            <w:bookmarkStart w:id="7" w:name="_Toc6449"/>
            <w:bookmarkEnd w:id="7"/>
            <w:bookmarkStart w:id="8" w:name="_Toc11500"/>
            <w:bookmarkEnd w:id="8"/>
            <w:bookmarkStart w:id="9" w:name="_Toc13919"/>
            <w:bookmarkEnd w:id="9"/>
            <w:bookmarkStart w:id="10" w:name="_Toc22054"/>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21F331D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11D8B094">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187526">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4F3746D7">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492D213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A542A9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43E3F9B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0041B41B">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5C408A8E">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p>
        </w:tc>
        <w:tc>
          <w:tcPr>
            <w:tcW w:w="5229" w:type="dxa"/>
            <w:tcBorders>
              <w:top w:val="nil"/>
              <w:left w:val="nil"/>
              <w:bottom w:val="single" w:color="auto" w:sz="4" w:space="0"/>
              <w:right w:val="single" w:color="auto" w:sz="4" w:space="0"/>
            </w:tcBorders>
            <w:noWrap w:val="0"/>
            <w:vAlign w:val="center"/>
          </w:tcPr>
          <w:p w14:paraId="176F986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6971A8B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033613EF">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5A390F33">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782E1BD8">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30A9E692">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w:t>
            </w:r>
          </w:p>
        </w:tc>
        <w:tc>
          <w:tcPr>
            <w:tcW w:w="5229" w:type="dxa"/>
            <w:tcBorders>
              <w:top w:val="nil"/>
              <w:left w:val="nil"/>
              <w:bottom w:val="single" w:color="auto" w:sz="4" w:space="0"/>
              <w:right w:val="single" w:color="auto" w:sz="4" w:space="0"/>
            </w:tcBorders>
            <w:noWrap w:val="0"/>
            <w:vAlign w:val="center"/>
          </w:tcPr>
          <w:p w14:paraId="671871BE">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p>
        </w:tc>
      </w:tr>
      <w:tr w14:paraId="2D1EBA4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9301AA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w:t>
            </w:r>
          </w:p>
        </w:tc>
        <w:tc>
          <w:tcPr>
            <w:tcW w:w="5229" w:type="dxa"/>
            <w:tcBorders>
              <w:top w:val="nil"/>
              <w:left w:val="nil"/>
              <w:bottom w:val="single" w:color="auto" w:sz="4" w:space="0"/>
              <w:right w:val="single" w:color="auto" w:sz="4" w:space="0"/>
            </w:tcBorders>
            <w:noWrap w:val="0"/>
            <w:vAlign w:val="center"/>
          </w:tcPr>
          <w:p w14:paraId="2BA1F4F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p>
        </w:tc>
      </w:tr>
      <w:tr w14:paraId="6056068D">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3F1D993B">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w:t>
            </w:r>
          </w:p>
        </w:tc>
        <w:tc>
          <w:tcPr>
            <w:tcW w:w="5229" w:type="dxa"/>
            <w:tcBorders>
              <w:top w:val="single" w:color="auto" w:sz="4" w:space="0"/>
              <w:left w:val="nil"/>
              <w:bottom w:val="single" w:color="auto" w:sz="4" w:space="0"/>
              <w:right w:val="single" w:color="auto" w:sz="4" w:space="0"/>
            </w:tcBorders>
            <w:noWrap w:val="0"/>
            <w:vAlign w:val="center"/>
          </w:tcPr>
          <w:p w14:paraId="3D6C9C5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p>
        </w:tc>
      </w:tr>
      <w:tr w14:paraId="5B6B6D7F">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7DA8B2E0">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w:t>
            </w:r>
          </w:p>
        </w:tc>
        <w:tc>
          <w:tcPr>
            <w:tcW w:w="5229" w:type="dxa"/>
            <w:tcBorders>
              <w:top w:val="nil"/>
              <w:left w:val="nil"/>
              <w:bottom w:val="single" w:color="auto" w:sz="4" w:space="0"/>
              <w:right w:val="single" w:color="auto" w:sz="4" w:space="0"/>
            </w:tcBorders>
            <w:noWrap w:val="0"/>
            <w:vAlign w:val="center"/>
          </w:tcPr>
          <w:p w14:paraId="5AF7985C">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4BB2615D">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1DC0C118">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60E3BCE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jc w:val="both"/>
        <w:rPr>
          <w:rFonts w:hint="eastAsia" w:ascii="宋体" w:hAnsi="宋体"/>
          <w:color w:val="auto"/>
          <w:kern w:val="0"/>
          <w:szCs w:val="21"/>
        </w:rPr>
      </w:pPr>
    </w:p>
    <w:p w14:paraId="49A92DB1">
      <w:pPr>
        <w:spacing w:line="360" w:lineRule="auto"/>
        <w:jc w:val="both"/>
        <w:rPr>
          <w:rFonts w:hint="eastAsia" w:ascii="宋体" w:hAnsi="宋体"/>
          <w:color w:val="auto"/>
          <w:kern w:val="0"/>
          <w:szCs w:val="21"/>
          <w:highlight w:val="none"/>
        </w:rPr>
      </w:pPr>
    </w:p>
    <w:sectPr>
      <w:headerReference r:id="rId3" w:type="default"/>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14F4893"/>
    <w:rsid w:val="02351CE6"/>
    <w:rsid w:val="027C16B8"/>
    <w:rsid w:val="03315841"/>
    <w:rsid w:val="034026E5"/>
    <w:rsid w:val="035166A0"/>
    <w:rsid w:val="037353FF"/>
    <w:rsid w:val="03802AE2"/>
    <w:rsid w:val="039D18E6"/>
    <w:rsid w:val="03A3335F"/>
    <w:rsid w:val="03AC1B29"/>
    <w:rsid w:val="03AE5E66"/>
    <w:rsid w:val="03B60BF9"/>
    <w:rsid w:val="04583A5F"/>
    <w:rsid w:val="049A4E6F"/>
    <w:rsid w:val="050414F1"/>
    <w:rsid w:val="056326BB"/>
    <w:rsid w:val="060E0CB4"/>
    <w:rsid w:val="06BF7DC5"/>
    <w:rsid w:val="06C90C44"/>
    <w:rsid w:val="071C59E9"/>
    <w:rsid w:val="076C51A7"/>
    <w:rsid w:val="07CD6512"/>
    <w:rsid w:val="08332819"/>
    <w:rsid w:val="08400A92"/>
    <w:rsid w:val="086E1AA3"/>
    <w:rsid w:val="0891340C"/>
    <w:rsid w:val="08963939"/>
    <w:rsid w:val="091F2D9D"/>
    <w:rsid w:val="09292D87"/>
    <w:rsid w:val="09734E97"/>
    <w:rsid w:val="0ABC4CBC"/>
    <w:rsid w:val="0B8D2240"/>
    <w:rsid w:val="0C2030B4"/>
    <w:rsid w:val="0DA27AF9"/>
    <w:rsid w:val="0EA862F1"/>
    <w:rsid w:val="0EF03D0B"/>
    <w:rsid w:val="0F8751F8"/>
    <w:rsid w:val="0F95542D"/>
    <w:rsid w:val="0FCE2E27"/>
    <w:rsid w:val="0FD7617F"/>
    <w:rsid w:val="109B53FF"/>
    <w:rsid w:val="111F7DDE"/>
    <w:rsid w:val="11DD2EDC"/>
    <w:rsid w:val="11DE3167"/>
    <w:rsid w:val="11EB54C3"/>
    <w:rsid w:val="124473D0"/>
    <w:rsid w:val="12665599"/>
    <w:rsid w:val="12AD38BB"/>
    <w:rsid w:val="134E6759"/>
    <w:rsid w:val="136441CE"/>
    <w:rsid w:val="13D6674E"/>
    <w:rsid w:val="148D32B1"/>
    <w:rsid w:val="15035321"/>
    <w:rsid w:val="15724254"/>
    <w:rsid w:val="15AF54A9"/>
    <w:rsid w:val="15F31839"/>
    <w:rsid w:val="1638549E"/>
    <w:rsid w:val="167C538B"/>
    <w:rsid w:val="16E44C4A"/>
    <w:rsid w:val="16E66CA8"/>
    <w:rsid w:val="17321EED"/>
    <w:rsid w:val="17E256C1"/>
    <w:rsid w:val="18363C5F"/>
    <w:rsid w:val="183D3DB6"/>
    <w:rsid w:val="18CC17C3"/>
    <w:rsid w:val="190D676E"/>
    <w:rsid w:val="1970104A"/>
    <w:rsid w:val="1A976C37"/>
    <w:rsid w:val="1B2D637F"/>
    <w:rsid w:val="1B336842"/>
    <w:rsid w:val="1BA17641"/>
    <w:rsid w:val="1C0227D6"/>
    <w:rsid w:val="1C316062"/>
    <w:rsid w:val="1CA10E81"/>
    <w:rsid w:val="1D3201F7"/>
    <w:rsid w:val="1D321329"/>
    <w:rsid w:val="1DC53ABB"/>
    <w:rsid w:val="1DFE0D7B"/>
    <w:rsid w:val="1E3F3B58"/>
    <w:rsid w:val="1E8F7C25"/>
    <w:rsid w:val="1EDD6BE3"/>
    <w:rsid w:val="1EE86942"/>
    <w:rsid w:val="1F6B0692"/>
    <w:rsid w:val="1FD02D03"/>
    <w:rsid w:val="200C6158"/>
    <w:rsid w:val="202C7E22"/>
    <w:rsid w:val="20A756FA"/>
    <w:rsid w:val="20AA51EA"/>
    <w:rsid w:val="20FD17BE"/>
    <w:rsid w:val="21E33248"/>
    <w:rsid w:val="228B40B9"/>
    <w:rsid w:val="22995516"/>
    <w:rsid w:val="23007343"/>
    <w:rsid w:val="23100FE1"/>
    <w:rsid w:val="233B65CE"/>
    <w:rsid w:val="23ED05D5"/>
    <w:rsid w:val="2446347C"/>
    <w:rsid w:val="247B4ED4"/>
    <w:rsid w:val="24991130"/>
    <w:rsid w:val="24B96302"/>
    <w:rsid w:val="25A61214"/>
    <w:rsid w:val="25DF76E4"/>
    <w:rsid w:val="261559F4"/>
    <w:rsid w:val="26C8461C"/>
    <w:rsid w:val="26C92F90"/>
    <w:rsid w:val="2714095F"/>
    <w:rsid w:val="2749750B"/>
    <w:rsid w:val="27900B35"/>
    <w:rsid w:val="27D52ACE"/>
    <w:rsid w:val="28247630"/>
    <w:rsid w:val="28341AF8"/>
    <w:rsid w:val="286E4D4F"/>
    <w:rsid w:val="28CB4B2F"/>
    <w:rsid w:val="295403E9"/>
    <w:rsid w:val="2987256D"/>
    <w:rsid w:val="29F0536A"/>
    <w:rsid w:val="2A627D48"/>
    <w:rsid w:val="2A790DDA"/>
    <w:rsid w:val="2A830A7F"/>
    <w:rsid w:val="2AB52179"/>
    <w:rsid w:val="2B430715"/>
    <w:rsid w:val="2C2A3701"/>
    <w:rsid w:val="2C4B5763"/>
    <w:rsid w:val="2C55425C"/>
    <w:rsid w:val="2C5B55EB"/>
    <w:rsid w:val="2CAD22EA"/>
    <w:rsid w:val="2D2044A4"/>
    <w:rsid w:val="2DA57465"/>
    <w:rsid w:val="2DB33930"/>
    <w:rsid w:val="2E886C68"/>
    <w:rsid w:val="2EC8145A"/>
    <w:rsid w:val="2ED7364E"/>
    <w:rsid w:val="2EE4145B"/>
    <w:rsid w:val="2F5E5B1E"/>
    <w:rsid w:val="2F9B28CE"/>
    <w:rsid w:val="30071D11"/>
    <w:rsid w:val="30A25EDE"/>
    <w:rsid w:val="30C65260"/>
    <w:rsid w:val="30CB2D84"/>
    <w:rsid w:val="31496359"/>
    <w:rsid w:val="315076E8"/>
    <w:rsid w:val="3203310A"/>
    <w:rsid w:val="32146967"/>
    <w:rsid w:val="3237624E"/>
    <w:rsid w:val="32441D98"/>
    <w:rsid w:val="32943604"/>
    <w:rsid w:val="33092244"/>
    <w:rsid w:val="33D97E69"/>
    <w:rsid w:val="343E5F1E"/>
    <w:rsid w:val="34980A97"/>
    <w:rsid w:val="34A80A14"/>
    <w:rsid w:val="35123632"/>
    <w:rsid w:val="352275ED"/>
    <w:rsid w:val="35411821"/>
    <w:rsid w:val="3569521C"/>
    <w:rsid w:val="35CD1EB6"/>
    <w:rsid w:val="36010FB1"/>
    <w:rsid w:val="362C0724"/>
    <w:rsid w:val="3659703F"/>
    <w:rsid w:val="36B6623F"/>
    <w:rsid w:val="36CA1CEB"/>
    <w:rsid w:val="36D16BD5"/>
    <w:rsid w:val="379540A7"/>
    <w:rsid w:val="37EA2644"/>
    <w:rsid w:val="37FE7E9E"/>
    <w:rsid w:val="3825542A"/>
    <w:rsid w:val="387B504A"/>
    <w:rsid w:val="38E37913"/>
    <w:rsid w:val="393B53E7"/>
    <w:rsid w:val="39B50A30"/>
    <w:rsid w:val="39CE38A0"/>
    <w:rsid w:val="39FC1119"/>
    <w:rsid w:val="3ACD1DA9"/>
    <w:rsid w:val="3B8763FC"/>
    <w:rsid w:val="3BAC0FC5"/>
    <w:rsid w:val="3CCF578C"/>
    <w:rsid w:val="3CDC1C5B"/>
    <w:rsid w:val="3CE27D8E"/>
    <w:rsid w:val="3D1D5B45"/>
    <w:rsid w:val="3D4A148F"/>
    <w:rsid w:val="3DB17760"/>
    <w:rsid w:val="3DBD4357"/>
    <w:rsid w:val="3DD82F3F"/>
    <w:rsid w:val="3DFF1DEB"/>
    <w:rsid w:val="3E8F7AA2"/>
    <w:rsid w:val="3EA467BB"/>
    <w:rsid w:val="3EAB2402"/>
    <w:rsid w:val="3F8B2DF8"/>
    <w:rsid w:val="3F9D1D4A"/>
    <w:rsid w:val="40443B57"/>
    <w:rsid w:val="424F3209"/>
    <w:rsid w:val="42701998"/>
    <w:rsid w:val="42CB56C2"/>
    <w:rsid w:val="436B215F"/>
    <w:rsid w:val="43C006FD"/>
    <w:rsid w:val="43D63A7D"/>
    <w:rsid w:val="43F7D57E"/>
    <w:rsid w:val="440C749E"/>
    <w:rsid w:val="442C18EF"/>
    <w:rsid w:val="44EC107E"/>
    <w:rsid w:val="453942C3"/>
    <w:rsid w:val="4565330A"/>
    <w:rsid w:val="45AD1B81"/>
    <w:rsid w:val="46172A7D"/>
    <w:rsid w:val="463D4D16"/>
    <w:rsid w:val="46674E60"/>
    <w:rsid w:val="46FF385B"/>
    <w:rsid w:val="4703102D"/>
    <w:rsid w:val="471A6376"/>
    <w:rsid w:val="474B0F4E"/>
    <w:rsid w:val="476B051A"/>
    <w:rsid w:val="47AC3472"/>
    <w:rsid w:val="48645AFB"/>
    <w:rsid w:val="48A03AA8"/>
    <w:rsid w:val="48CF322E"/>
    <w:rsid w:val="493B079C"/>
    <w:rsid w:val="495C67D2"/>
    <w:rsid w:val="497E0C9D"/>
    <w:rsid w:val="4981092F"/>
    <w:rsid w:val="49E35145"/>
    <w:rsid w:val="49EF3AEA"/>
    <w:rsid w:val="4A513E5D"/>
    <w:rsid w:val="4A5971B6"/>
    <w:rsid w:val="4A6A3171"/>
    <w:rsid w:val="4ABB577A"/>
    <w:rsid w:val="4AEE5B50"/>
    <w:rsid w:val="4AFA62A3"/>
    <w:rsid w:val="4B1F3F5B"/>
    <w:rsid w:val="4B412124"/>
    <w:rsid w:val="4B6127C6"/>
    <w:rsid w:val="4BC44B03"/>
    <w:rsid w:val="4BD5286C"/>
    <w:rsid w:val="4BE07B8E"/>
    <w:rsid w:val="4C5A457E"/>
    <w:rsid w:val="4C9E7102"/>
    <w:rsid w:val="4CF82CB6"/>
    <w:rsid w:val="4DBA7F6B"/>
    <w:rsid w:val="4EAC0EC6"/>
    <w:rsid w:val="4EC25DA1"/>
    <w:rsid w:val="4F4246BC"/>
    <w:rsid w:val="4FCD042A"/>
    <w:rsid w:val="508C2D55"/>
    <w:rsid w:val="50E25461"/>
    <w:rsid w:val="50F7764E"/>
    <w:rsid w:val="51A41C74"/>
    <w:rsid w:val="52614E59"/>
    <w:rsid w:val="52885634"/>
    <w:rsid w:val="53895131"/>
    <w:rsid w:val="539D3210"/>
    <w:rsid w:val="53B400B5"/>
    <w:rsid w:val="54C811C0"/>
    <w:rsid w:val="55234918"/>
    <w:rsid w:val="56351035"/>
    <w:rsid w:val="56953761"/>
    <w:rsid w:val="56C836F9"/>
    <w:rsid w:val="56D06A51"/>
    <w:rsid w:val="56EB73E7"/>
    <w:rsid w:val="57A557E8"/>
    <w:rsid w:val="57D8796C"/>
    <w:rsid w:val="58DE5456"/>
    <w:rsid w:val="592144C8"/>
    <w:rsid w:val="59455A14"/>
    <w:rsid w:val="59AD6BD6"/>
    <w:rsid w:val="59BB12F3"/>
    <w:rsid w:val="5A2C21F1"/>
    <w:rsid w:val="5A7E449A"/>
    <w:rsid w:val="5AE14D89"/>
    <w:rsid w:val="5B1E0489"/>
    <w:rsid w:val="5BDB6BBE"/>
    <w:rsid w:val="5C2E04A2"/>
    <w:rsid w:val="5C5B500F"/>
    <w:rsid w:val="5CB52971"/>
    <w:rsid w:val="5CC511FB"/>
    <w:rsid w:val="5CD438A6"/>
    <w:rsid w:val="5CD43EAD"/>
    <w:rsid w:val="5D1908DD"/>
    <w:rsid w:val="5D2252A3"/>
    <w:rsid w:val="5D2E002E"/>
    <w:rsid w:val="5DAB167E"/>
    <w:rsid w:val="5E547F68"/>
    <w:rsid w:val="5EA42C9D"/>
    <w:rsid w:val="5F3F800D"/>
    <w:rsid w:val="5F9F3465"/>
    <w:rsid w:val="61F96E5C"/>
    <w:rsid w:val="629D3C8C"/>
    <w:rsid w:val="62B72874"/>
    <w:rsid w:val="635C3B47"/>
    <w:rsid w:val="63807109"/>
    <w:rsid w:val="63E47698"/>
    <w:rsid w:val="64393E88"/>
    <w:rsid w:val="64406FC4"/>
    <w:rsid w:val="648C2B5F"/>
    <w:rsid w:val="64A87C2F"/>
    <w:rsid w:val="64D10D3E"/>
    <w:rsid w:val="6531690D"/>
    <w:rsid w:val="65646CE3"/>
    <w:rsid w:val="65EE47FE"/>
    <w:rsid w:val="665A1E94"/>
    <w:rsid w:val="6683763C"/>
    <w:rsid w:val="66AF3F8D"/>
    <w:rsid w:val="66EF6A80"/>
    <w:rsid w:val="66FB7B2A"/>
    <w:rsid w:val="670047E9"/>
    <w:rsid w:val="6732696D"/>
    <w:rsid w:val="67380427"/>
    <w:rsid w:val="67580AC9"/>
    <w:rsid w:val="68394457"/>
    <w:rsid w:val="687F5939"/>
    <w:rsid w:val="68836BFF"/>
    <w:rsid w:val="68B901C4"/>
    <w:rsid w:val="68BE2BAE"/>
    <w:rsid w:val="68D45F2D"/>
    <w:rsid w:val="69456E2B"/>
    <w:rsid w:val="69643755"/>
    <w:rsid w:val="69E44896"/>
    <w:rsid w:val="6A0665BA"/>
    <w:rsid w:val="6A295511"/>
    <w:rsid w:val="6A95793E"/>
    <w:rsid w:val="6B142F59"/>
    <w:rsid w:val="6B4F5D3F"/>
    <w:rsid w:val="6C1D408F"/>
    <w:rsid w:val="6C2B055A"/>
    <w:rsid w:val="6DC073D3"/>
    <w:rsid w:val="6E225077"/>
    <w:rsid w:val="6ED36C87"/>
    <w:rsid w:val="6F335B26"/>
    <w:rsid w:val="6F5766F0"/>
    <w:rsid w:val="6FDE3B35"/>
    <w:rsid w:val="701933AF"/>
    <w:rsid w:val="709A4CCB"/>
    <w:rsid w:val="70A66512"/>
    <w:rsid w:val="70A97C9F"/>
    <w:rsid w:val="70B07280"/>
    <w:rsid w:val="70C42D2B"/>
    <w:rsid w:val="711A0B9D"/>
    <w:rsid w:val="712F289B"/>
    <w:rsid w:val="715220E5"/>
    <w:rsid w:val="71D92806"/>
    <w:rsid w:val="71DA5196"/>
    <w:rsid w:val="71E35433"/>
    <w:rsid w:val="71E847F7"/>
    <w:rsid w:val="71EC5903"/>
    <w:rsid w:val="7203197E"/>
    <w:rsid w:val="7214383E"/>
    <w:rsid w:val="73121954"/>
    <w:rsid w:val="73B01775"/>
    <w:rsid w:val="74F72828"/>
    <w:rsid w:val="75232716"/>
    <w:rsid w:val="75315249"/>
    <w:rsid w:val="75762BD4"/>
    <w:rsid w:val="75B528EA"/>
    <w:rsid w:val="76197675"/>
    <w:rsid w:val="76257DC8"/>
    <w:rsid w:val="76320737"/>
    <w:rsid w:val="76674885"/>
    <w:rsid w:val="78570929"/>
    <w:rsid w:val="78AC47D1"/>
    <w:rsid w:val="792627D5"/>
    <w:rsid w:val="797057FE"/>
    <w:rsid w:val="79C63670"/>
    <w:rsid w:val="79E02BB7"/>
    <w:rsid w:val="7A14415B"/>
    <w:rsid w:val="7A4647B1"/>
    <w:rsid w:val="7ABE7E8E"/>
    <w:rsid w:val="7B242D44"/>
    <w:rsid w:val="7B2C4A37"/>
    <w:rsid w:val="7C3D3992"/>
    <w:rsid w:val="7C4D62CB"/>
    <w:rsid w:val="7D1C7A4B"/>
    <w:rsid w:val="7D9A25AD"/>
    <w:rsid w:val="7DD520D4"/>
    <w:rsid w:val="7E855768"/>
    <w:rsid w:val="7EA85A3A"/>
    <w:rsid w:val="7ED14F91"/>
    <w:rsid w:val="7EFC5D86"/>
    <w:rsid w:val="7F387F02"/>
    <w:rsid w:val="7F653A65"/>
    <w:rsid w:val="7FCE14D1"/>
    <w:rsid w:val="7FF52F01"/>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25</Pages>
  <Words>11716</Words>
  <Characters>12114</Characters>
  <Lines>111</Lines>
  <Paragraphs>31</Paragraphs>
  <TotalTime>0</TotalTime>
  <ScaleCrop>false</ScaleCrop>
  <LinksUpToDate>false</LinksUpToDate>
  <CharactersWithSpaces>13003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邓蓉</cp:lastModifiedBy>
  <cp:lastPrinted>2024-10-18T01:06:00Z</cp:lastPrinted>
  <dcterms:modified xsi:type="dcterms:W3CDTF">2026-04-14T01:32:08Z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3738E3BA5B0F4A068498E94170FB3151_13</vt:lpwstr>
  </property>
  <property fmtid="{D5CDD505-2E9C-101B-9397-08002B2CF9AE}" pid="4" name="KSOTemplateDocerSaveRecord">
    <vt:lpwstr>eyJoZGlkIjoiN2EyYWZhM2FmNzQ3Y2QwOTYwYTYzNmZlMDFkMWFjMWEiLCJ1c2VySWQiOiI0NDgyMTUzOTYifQ==</vt:lpwstr>
  </property>
</Properties>
</file>